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jc w:val="center"/>
        <w:textAlignment w:val="auto"/>
        <w:rPr>
          <w:rFonts w:hint="eastAsia" w:ascii="方正小标宋_GBK" w:hAnsi="方正小标宋_GBK" w:eastAsia="方正小标宋_GBK" w:cs="方正小标宋_GBK"/>
          <w:b/>
          <w:bCs/>
          <w:sz w:val="36"/>
          <w:szCs w:val="36"/>
          <w:lang w:val="en-US" w:eastAsia="zh-CN"/>
        </w:rPr>
      </w:pPr>
      <w:bookmarkStart w:id="0" w:name="_Toc18922"/>
    </w:p>
    <w:p>
      <w:pPr>
        <w:keepNext w:val="0"/>
        <w:keepLines w:val="0"/>
        <w:pageBreakBefore w:val="0"/>
        <w:widowControl/>
        <w:kinsoku/>
        <w:wordWrap/>
        <w:overflowPunct/>
        <w:topLinePunct w:val="0"/>
        <w:autoSpaceDE/>
        <w:autoSpaceDN/>
        <w:bidi w:val="0"/>
        <w:adjustRightInd/>
        <w:snapToGrid/>
        <w:jc w:val="center"/>
        <w:textAlignment w:val="auto"/>
        <w:rPr>
          <w:rFonts w:hint="eastAsia" w:ascii="方正小标宋_GBK" w:hAnsi="方正小标宋_GBK" w:eastAsia="方正小标宋_GBK" w:cs="方正小标宋_GBK"/>
          <w:b/>
          <w:bCs/>
          <w:sz w:val="36"/>
          <w:szCs w:val="36"/>
          <w:lang w:val="en-US" w:eastAsia="zh-CN"/>
        </w:rPr>
      </w:pPr>
    </w:p>
    <w:p>
      <w:pPr>
        <w:keepNext w:val="0"/>
        <w:keepLines w:val="0"/>
        <w:pageBreakBefore w:val="0"/>
        <w:widowControl/>
        <w:kinsoku/>
        <w:wordWrap/>
        <w:overflowPunct/>
        <w:topLinePunct w:val="0"/>
        <w:autoSpaceDE/>
        <w:autoSpaceDN/>
        <w:bidi w:val="0"/>
        <w:adjustRightInd/>
        <w:snapToGrid/>
        <w:jc w:val="center"/>
        <w:textAlignment w:val="auto"/>
        <w:rPr>
          <w:rFonts w:hint="eastAsia" w:ascii="方正小标宋_GBK" w:hAnsi="方正小标宋_GBK" w:eastAsia="方正小标宋_GBK" w:cs="方正小标宋_GBK"/>
          <w:b/>
          <w:bCs/>
          <w:sz w:val="36"/>
          <w:szCs w:val="36"/>
          <w:lang w:val="en-US"/>
        </w:rPr>
      </w:pPr>
      <w:r>
        <w:rPr>
          <w:rFonts w:hint="eastAsia" w:ascii="方正小标宋_GBK" w:hAnsi="方正小标宋_GBK" w:eastAsia="方正小标宋_GBK" w:cs="方正小标宋_GBK"/>
          <w:b/>
          <w:bCs/>
          <w:sz w:val="36"/>
          <w:szCs w:val="36"/>
          <w:lang w:val="en-US" w:eastAsia="zh-CN"/>
        </w:rPr>
        <w:t>2022年</w:t>
      </w:r>
      <w:bookmarkEnd w:id="0"/>
      <w:r>
        <w:rPr>
          <w:rFonts w:hint="eastAsia" w:ascii="方正小标宋_GBK" w:hAnsi="方正小标宋_GBK" w:eastAsia="方正小标宋_GBK" w:cs="方正小标宋_GBK"/>
          <w:b/>
          <w:bCs/>
          <w:sz w:val="36"/>
          <w:szCs w:val="36"/>
          <w:lang w:val="en-US" w:eastAsia="zh-CN"/>
        </w:rPr>
        <w:t>食品药品检测项目</w:t>
      </w:r>
    </w:p>
    <w:p>
      <w:pPr>
        <w:keepNext w:val="0"/>
        <w:keepLines w:val="0"/>
        <w:pageBreakBefore w:val="0"/>
        <w:widowControl/>
        <w:kinsoku/>
        <w:wordWrap/>
        <w:overflowPunct/>
        <w:topLinePunct w:val="0"/>
        <w:autoSpaceDE/>
        <w:autoSpaceDN/>
        <w:bidi w:val="0"/>
        <w:adjustRightInd/>
        <w:snapToGrid/>
        <w:jc w:val="center"/>
        <w:textAlignment w:val="auto"/>
        <w:rPr>
          <w:rFonts w:hint="eastAsia" w:ascii="方正小标宋_GBK" w:hAnsi="方正小标宋_GBK" w:eastAsia="方正小标宋_GBK" w:cs="方正小标宋_GBK"/>
          <w:b/>
          <w:bCs/>
          <w:sz w:val="36"/>
          <w:szCs w:val="36"/>
        </w:rPr>
      </w:pPr>
      <w:bookmarkStart w:id="1" w:name="_Toc10661"/>
      <w:bookmarkStart w:id="2" w:name="_Toc19247"/>
      <w:bookmarkStart w:id="3" w:name="_Toc24495"/>
      <w:bookmarkStart w:id="4" w:name="_Toc10766"/>
      <w:r>
        <w:rPr>
          <w:rFonts w:hint="eastAsia" w:ascii="方正小标宋_GBK" w:hAnsi="方正小标宋_GBK" w:eastAsia="方正小标宋_GBK" w:cs="方正小标宋_GBK"/>
          <w:b/>
          <w:bCs/>
          <w:sz w:val="36"/>
          <w:szCs w:val="36"/>
        </w:rPr>
        <w:t>绩效评价报告</w:t>
      </w:r>
      <w:bookmarkEnd w:id="1"/>
      <w:bookmarkEnd w:id="2"/>
      <w:bookmarkEnd w:id="3"/>
      <w:bookmarkEnd w:id="4"/>
    </w:p>
    <w:p>
      <w:pPr>
        <w:spacing w:line="300" w:lineRule="auto"/>
        <w:jc w:val="center"/>
        <w:outlineLvl w:val="9"/>
        <w:rPr>
          <w:rFonts w:hint="eastAsia" w:ascii="仿宋" w:hAnsi="仿宋" w:eastAsia="仿宋" w:cs="仿宋"/>
          <w:b/>
          <w:bCs w:val="0"/>
          <w:snapToGrid w:val="0"/>
          <w:kern w:val="0"/>
          <w:sz w:val="36"/>
          <w:szCs w:val="36"/>
        </w:rPr>
      </w:pPr>
      <w:bookmarkStart w:id="5" w:name="_Toc3901"/>
      <w:bookmarkStart w:id="6" w:name="_Toc13184"/>
      <w:bookmarkStart w:id="7" w:name="_Toc1889"/>
      <w:bookmarkStart w:id="8" w:name="_Toc7042"/>
      <w:r>
        <w:rPr>
          <w:rFonts w:hint="eastAsia" w:ascii="仿宋" w:hAnsi="仿宋" w:eastAsia="仿宋" w:cs="仿宋"/>
          <w:b/>
          <w:bCs w:val="0"/>
          <w:snapToGrid w:val="0"/>
          <w:kern w:val="0"/>
          <w:sz w:val="36"/>
          <w:szCs w:val="36"/>
        </w:rPr>
        <w:t>（</w:t>
      </w:r>
      <w:r>
        <w:rPr>
          <w:rFonts w:hint="eastAsia" w:ascii="仿宋" w:hAnsi="仿宋" w:eastAsia="仿宋" w:cs="仿宋"/>
          <w:b/>
          <w:bCs w:val="0"/>
          <w:snapToGrid w:val="0"/>
          <w:kern w:val="0"/>
          <w:sz w:val="36"/>
          <w:szCs w:val="36"/>
          <w:lang w:val="en-US" w:eastAsia="zh-CN"/>
        </w:rPr>
        <w:t>摘要</w:t>
      </w:r>
      <w:r>
        <w:rPr>
          <w:rFonts w:hint="eastAsia" w:ascii="仿宋" w:hAnsi="仿宋" w:eastAsia="仿宋" w:cs="仿宋"/>
          <w:b/>
          <w:bCs w:val="0"/>
          <w:snapToGrid w:val="0"/>
          <w:kern w:val="0"/>
          <w:sz w:val="36"/>
          <w:szCs w:val="36"/>
        </w:rPr>
        <w:t>版）</w:t>
      </w:r>
      <w:bookmarkEnd w:id="5"/>
      <w:bookmarkEnd w:id="6"/>
      <w:bookmarkEnd w:id="7"/>
      <w:bookmarkEnd w:id="8"/>
    </w:p>
    <w:p>
      <w:pPr>
        <w:spacing w:line="300" w:lineRule="auto"/>
        <w:jc w:val="center"/>
        <w:outlineLvl w:val="9"/>
        <w:rPr>
          <w:rFonts w:hint="eastAsia" w:ascii="仿宋" w:hAnsi="仿宋" w:eastAsia="仿宋" w:cs="仿宋"/>
          <w:b/>
          <w:bCs w:val="0"/>
          <w:sz w:val="36"/>
          <w:szCs w:val="36"/>
        </w:rPr>
      </w:pPr>
      <w:r>
        <w:rPr>
          <w:rFonts w:hint="eastAsia" w:ascii="仿宋" w:hAnsi="仿宋" w:eastAsia="仿宋" w:cs="仿宋"/>
          <w:b/>
          <w:bCs w:val="0"/>
          <w:snapToGrid w:val="0"/>
          <w:sz w:val="36"/>
          <w:szCs w:val="36"/>
        </w:rPr>
        <w:t>上会鄂报字（2023）第0259号</w:t>
      </w:r>
    </w:p>
    <w:p>
      <w:pPr>
        <w:jc w:val="center"/>
        <w:rPr>
          <w:rFonts w:hint="eastAsia" w:ascii="仿宋" w:hAnsi="仿宋" w:eastAsia="仿宋" w:cs="仿宋"/>
          <w:szCs w:val="32"/>
        </w:rPr>
      </w:pPr>
    </w:p>
    <w:p>
      <w:pPr>
        <w:jc w:val="center"/>
        <w:rPr>
          <w:rFonts w:hint="eastAsia" w:ascii="仿宋" w:hAnsi="仿宋" w:eastAsia="仿宋" w:cs="仿宋"/>
          <w:szCs w:val="32"/>
        </w:rPr>
      </w:pPr>
    </w:p>
    <w:p>
      <w:pPr>
        <w:jc w:val="center"/>
        <w:rPr>
          <w:rFonts w:hint="eastAsia" w:ascii="仿宋" w:hAnsi="仿宋" w:eastAsia="仿宋" w:cs="仿宋"/>
          <w:b/>
          <w:bCs/>
          <w:sz w:val="44"/>
          <w:szCs w:val="44"/>
        </w:rPr>
      </w:pPr>
    </w:p>
    <w:p>
      <w:pPr>
        <w:jc w:val="center"/>
        <w:rPr>
          <w:rFonts w:hint="eastAsia" w:ascii="仿宋" w:hAnsi="仿宋" w:eastAsia="仿宋" w:cs="仿宋"/>
          <w:b/>
          <w:bCs/>
          <w:sz w:val="44"/>
          <w:szCs w:val="44"/>
        </w:rPr>
      </w:pPr>
    </w:p>
    <w:p>
      <w:pPr>
        <w:jc w:val="center"/>
        <w:rPr>
          <w:rFonts w:hint="eastAsia" w:ascii="仿宋" w:hAnsi="仿宋" w:eastAsia="仿宋" w:cs="仿宋"/>
          <w:b/>
          <w:bCs/>
          <w:sz w:val="44"/>
          <w:szCs w:val="44"/>
        </w:rPr>
      </w:pPr>
    </w:p>
    <w:p>
      <w:pPr>
        <w:jc w:val="center"/>
        <w:rPr>
          <w:rFonts w:hint="eastAsia" w:ascii="仿宋" w:hAnsi="仿宋" w:eastAsia="仿宋" w:cs="仿宋"/>
          <w:b/>
          <w:bCs/>
          <w:sz w:val="44"/>
          <w:szCs w:val="44"/>
        </w:rPr>
      </w:pPr>
    </w:p>
    <w:p>
      <w:pPr>
        <w:jc w:val="center"/>
        <w:rPr>
          <w:rFonts w:hint="eastAsia" w:ascii="仿宋" w:hAnsi="仿宋" w:eastAsia="仿宋" w:cs="仿宋"/>
          <w:b/>
          <w:bCs/>
          <w:sz w:val="44"/>
          <w:szCs w:val="44"/>
        </w:rPr>
      </w:pPr>
    </w:p>
    <w:p>
      <w:pPr>
        <w:jc w:val="center"/>
        <w:rPr>
          <w:rFonts w:hint="eastAsia" w:ascii="仿宋" w:hAnsi="仿宋" w:eastAsia="仿宋" w:cs="仿宋"/>
          <w:b/>
          <w:bCs/>
          <w:sz w:val="44"/>
          <w:szCs w:val="44"/>
        </w:rPr>
      </w:pPr>
    </w:p>
    <w:p>
      <w:pPr>
        <w:pStyle w:val="8"/>
        <w:kinsoku w:val="0"/>
        <w:overflowPunct w:val="0"/>
        <w:jc w:val="center"/>
        <w:outlineLvl w:val="9"/>
        <w:rPr>
          <w:rFonts w:hint="eastAsia" w:ascii="仿宋" w:hAnsi="仿宋" w:eastAsia="仿宋" w:cs="仿宋"/>
          <w:b/>
          <w:snapToGrid w:val="0"/>
          <w:sz w:val="36"/>
          <w:szCs w:val="36"/>
        </w:rPr>
      </w:pPr>
      <w:bookmarkStart w:id="9" w:name="_Toc13568"/>
    </w:p>
    <w:p>
      <w:pPr>
        <w:pStyle w:val="8"/>
        <w:kinsoku w:val="0"/>
        <w:overflowPunct w:val="0"/>
        <w:jc w:val="center"/>
        <w:outlineLvl w:val="9"/>
        <w:rPr>
          <w:rFonts w:hint="eastAsia" w:ascii="仿宋" w:hAnsi="仿宋" w:eastAsia="仿宋" w:cs="仿宋"/>
          <w:szCs w:val="32"/>
        </w:rPr>
      </w:pPr>
      <w:r>
        <w:rPr>
          <w:rFonts w:hint="eastAsia" w:ascii="仿宋" w:hAnsi="仿宋" w:eastAsia="仿宋" w:cs="仿宋"/>
          <w:b/>
          <w:snapToGrid w:val="0"/>
          <w:sz w:val="36"/>
          <w:szCs w:val="36"/>
        </w:rPr>
        <w:t>上会会计师事务所</w:t>
      </w:r>
      <w:r>
        <w:rPr>
          <w:rFonts w:hint="eastAsia" w:ascii="仿宋" w:hAnsi="仿宋" w:eastAsia="仿宋" w:cs="仿宋"/>
          <w:b/>
          <w:snapToGrid w:val="0"/>
          <w:sz w:val="36"/>
          <w:szCs w:val="36"/>
          <w:lang w:eastAsia="zh-CN"/>
        </w:rPr>
        <w:t>（</w:t>
      </w:r>
      <w:r>
        <w:rPr>
          <w:rFonts w:hint="eastAsia" w:ascii="仿宋" w:hAnsi="仿宋" w:eastAsia="仿宋" w:cs="仿宋"/>
          <w:b/>
          <w:snapToGrid w:val="0"/>
          <w:sz w:val="36"/>
          <w:szCs w:val="36"/>
        </w:rPr>
        <w:t>特殊普通合伙</w:t>
      </w:r>
      <w:r>
        <w:rPr>
          <w:rFonts w:hint="eastAsia" w:ascii="仿宋" w:hAnsi="仿宋" w:eastAsia="仿宋" w:cs="仿宋"/>
          <w:b/>
          <w:snapToGrid w:val="0"/>
          <w:sz w:val="36"/>
          <w:szCs w:val="36"/>
          <w:lang w:eastAsia="zh-CN"/>
        </w:rPr>
        <w:t>）</w:t>
      </w:r>
      <w:r>
        <w:rPr>
          <w:rFonts w:hint="eastAsia" w:ascii="仿宋" w:hAnsi="仿宋" w:eastAsia="仿宋" w:cs="仿宋"/>
          <w:b/>
          <w:snapToGrid w:val="0"/>
          <w:sz w:val="36"/>
          <w:szCs w:val="36"/>
        </w:rPr>
        <w:t>湖北分所</w:t>
      </w:r>
      <w:bookmarkEnd w:id="9"/>
    </w:p>
    <w:p>
      <w:pPr>
        <w:widowControl/>
        <w:wordWrap/>
        <w:jc w:val="right"/>
        <w:rPr>
          <w:rFonts w:hint="eastAsia" w:ascii="仿宋" w:hAnsi="仿宋" w:eastAsia="仿宋" w:cs="仿宋"/>
          <w:b/>
          <w:bCs/>
          <w:szCs w:val="32"/>
        </w:rPr>
      </w:pPr>
      <w:r>
        <w:rPr>
          <w:rFonts w:hint="eastAsia" w:ascii="仿宋" w:hAnsi="仿宋" w:eastAsia="仿宋" w:cs="仿宋"/>
          <w:b/>
          <w:bCs/>
          <w:szCs w:val="32"/>
        </w:rPr>
        <w:br w:type="page"/>
      </w:r>
      <w:r>
        <w:rPr>
          <w:rFonts w:hint="eastAsia" w:ascii="仿宋" w:hAnsi="仿宋" w:eastAsia="仿宋" w:cs="仿宋"/>
          <w:b/>
          <w:bCs/>
          <w:szCs w:val="32"/>
        </w:rPr>
        <w:t xml:space="preserve"> 报告编码：上会鄂报字（2023）第0259号         </w:t>
      </w:r>
    </w:p>
    <w:p>
      <w:pPr>
        <w:widowControl/>
        <w:jc w:val="center"/>
        <w:rPr>
          <w:rFonts w:hint="eastAsia" w:ascii="仿宋" w:hAnsi="仿宋" w:eastAsia="仿宋" w:cs="仿宋"/>
          <w:b/>
          <w:bCs/>
          <w:sz w:val="72"/>
          <w:szCs w:val="72"/>
        </w:rPr>
      </w:pPr>
    </w:p>
    <w:p>
      <w:pPr>
        <w:widowControl/>
        <w:jc w:val="center"/>
        <w:rPr>
          <w:rFonts w:hint="eastAsia" w:ascii="仿宋" w:hAnsi="仿宋" w:eastAsia="仿宋" w:cs="仿宋"/>
          <w:b/>
          <w:bCs/>
          <w:sz w:val="72"/>
          <w:szCs w:val="72"/>
        </w:rPr>
      </w:pPr>
      <w:r>
        <w:rPr>
          <w:rFonts w:hint="eastAsia" w:ascii="方正小标宋_GBK" w:hAnsi="方正小标宋_GBK" w:eastAsia="方正小标宋_GBK" w:cs="方正小标宋_GBK"/>
          <w:b/>
          <w:bCs/>
          <w:sz w:val="36"/>
          <w:szCs w:val="36"/>
        </w:rPr>
        <w:t>通城县预算绩效评价报告</w:t>
      </w:r>
      <w:r>
        <w:rPr>
          <w:rFonts w:hint="eastAsia" w:ascii="仿宋" w:hAnsi="仿宋" w:eastAsia="仿宋" w:cs="仿宋"/>
          <w:b/>
          <w:bCs/>
          <w:sz w:val="72"/>
          <w:szCs w:val="72"/>
        </w:rPr>
        <w:t xml:space="preserve">   </w:t>
      </w:r>
    </w:p>
    <w:p>
      <w:pPr>
        <w:widowControl/>
        <w:jc w:val="center"/>
        <w:rPr>
          <w:rFonts w:hint="eastAsia" w:ascii="楷体" w:hAnsi="楷体" w:eastAsia="楷体" w:cs="楷体"/>
          <w:b w:val="0"/>
          <w:bCs w:val="0"/>
          <w:sz w:val="32"/>
          <w:szCs w:val="32"/>
        </w:rPr>
      </w:pPr>
      <w:bookmarkStart w:id="67" w:name="_GoBack"/>
      <w:r>
        <w:rPr>
          <w:rFonts w:hint="eastAsia" w:ascii="楷体" w:hAnsi="楷体" w:eastAsia="楷体" w:cs="楷体"/>
          <w:b w:val="0"/>
          <w:bCs w:val="0"/>
          <w:sz w:val="32"/>
          <w:szCs w:val="32"/>
        </w:rPr>
        <w:t>（</w:t>
      </w:r>
      <w:r>
        <w:rPr>
          <w:rFonts w:hint="eastAsia" w:ascii="楷体" w:hAnsi="楷体" w:eastAsia="楷体" w:cs="楷体"/>
          <w:b w:val="0"/>
          <w:bCs w:val="0"/>
          <w:sz w:val="32"/>
          <w:szCs w:val="32"/>
          <w:lang w:val="en-US" w:eastAsia="zh-CN"/>
        </w:rPr>
        <w:t>摘要</w:t>
      </w:r>
      <w:r>
        <w:rPr>
          <w:rFonts w:hint="eastAsia" w:ascii="楷体" w:hAnsi="楷体" w:eastAsia="楷体" w:cs="楷体"/>
          <w:b w:val="0"/>
          <w:bCs w:val="0"/>
          <w:sz w:val="32"/>
          <w:szCs w:val="32"/>
        </w:rPr>
        <w:t>版）</w:t>
      </w:r>
    </w:p>
    <w:bookmarkEnd w:id="67"/>
    <w:p>
      <w:pPr>
        <w:widowControl/>
        <w:jc w:val="center"/>
        <w:rPr>
          <w:rFonts w:hint="eastAsia" w:ascii="仿宋" w:hAnsi="仿宋" w:eastAsia="仿宋" w:cs="仿宋"/>
          <w:b/>
          <w:bCs/>
          <w:sz w:val="44"/>
          <w:szCs w:val="44"/>
        </w:rPr>
      </w:pPr>
    </w:p>
    <w:p>
      <w:pPr>
        <w:jc w:val="left"/>
        <w:rPr>
          <w:rFonts w:hint="eastAsia" w:ascii="仿宋" w:hAnsi="仿宋" w:eastAsia="仿宋" w:cs="仿宋"/>
          <w:b/>
          <w:bCs/>
          <w:szCs w:val="32"/>
          <w:highlight w:val="yellow"/>
        </w:rPr>
      </w:pPr>
    </w:p>
    <w:p>
      <w:pPr>
        <w:spacing w:line="300" w:lineRule="auto"/>
        <w:ind w:left="1581" w:hanging="1580" w:hangingChars="500"/>
        <w:rPr>
          <w:rFonts w:ascii="仿宋" w:hAnsi="仿宋" w:eastAsia="仿宋" w:cs="仿宋"/>
          <w:b/>
          <w:bCs/>
          <w:szCs w:val="32"/>
          <w:u w:val="single"/>
        </w:rPr>
      </w:pPr>
      <w:r>
        <w:rPr>
          <w:rFonts w:hint="eastAsia" w:ascii="仿宋" w:hAnsi="仿宋" w:eastAsia="仿宋" w:cs="仿宋"/>
          <w:b/>
          <w:bCs/>
          <w:szCs w:val="32"/>
        </w:rPr>
        <w:t>报告名称：</w:t>
      </w:r>
      <w:r>
        <w:rPr>
          <w:rFonts w:hint="eastAsia" w:ascii="仿宋" w:hAnsi="仿宋" w:eastAsia="仿宋" w:cs="仿宋"/>
          <w:b/>
          <w:bCs/>
          <w:szCs w:val="32"/>
          <w:u w:val="single"/>
          <w:lang w:val="en-US" w:eastAsia="zh-CN"/>
        </w:rPr>
        <w:t>2022年食品药品检测项目</w:t>
      </w:r>
      <w:r>
        <w:rPr>
          <w:rFonts w:hint="eastAsia" w:ascii="仿宋" w:hAnsi="仿宋" w:eastAsia="仿宋" w:cs="仿宋"/>
          <w:b/>
          <w:bCs/>
          <w:szCs w:val="32"/>
          <w:u w:val="single"/>
        </w:rPr>
        <w:t xml:space="preserve">绩效评价报告               </w:t>
      </w:r>
    </w:p>
    <w:p>
      <w:pPr>
        <w:spacing w:line="300" w:lineRule="auto"/>
        <w:rPr>
          <w:rFonts w:ascii="仿宋" w:hAnsi="仿宋" w:eastAsia="仿宋" w:cs="仿宋"/>
          <w:b/>
          <w:bCs/>
          <w:szCs w:val="32"/>
          <w:u w:val="single"/>
        </w:rPr>
      </w:pPr>
      <w:r>
        <w:rPr>
          <w:rFonts w:hint="eastAsia" w:ascii="仿宋" w:hAnsi="仿宋" w:eastAsia="仿宋" w:cs="仿宋"/>
          <w:b/>
          <w:bCs/>
          <w:szCs w:val="32"/>
        </w:rPr>
        <w:t>预算部门（单位）：</w:t>
      </w:r>
      <w:r>
        <w:rPr>
          <w:rFonts w:hint="eastAsia" w:ascii="仿宋" w:hAnsi="仿宋" w:eastAsia="仿宋" w:cs="仿宋"/>
          <w:b/>
          <w:bCs/>
          <w:szCs w:val="32"/>
          <w:u w:val="single"/>
        </w:rPr>
        <w:t>通城县</w:t>
      </w:r>
      <w:r>
        <w:rPr>
          <w:rFonts w:hint="eastAsia" w:ascii="仿宋" w:hAnsi="仿宋" w:eastAsia="仿宋" w:cs="仿宋"/>
          <w:b/>
          <w:bCs/>
          <w:szCs w:val="32"/>
          <w:u w:val="single"/>
          <w:lang w:val="en-US" w:eastAsia="zh-CN"/>
        </w:rPr>
        <w:t>市场监督管理局</w:t>
      </w:r>
      <w:r>
        <w:rPr>
          <w:rFonts w:hint="eastAsia" w:ascii="仿宋" w:hAnsi="仿宋" w:eastAsia="仿宋" w:cs="仿宋"/>
          <w:b/>
          <w:bCs/>
          <w:szCs w:val="32"/>
          <w:u w:val="single"/>
        </w:rPr>
        <w:t xml:space="preserve">                           </w:t>
      </w:r>
    </w:p>
    <w:p>
      <w:pPr>
        <w:spacing w:line="300" w:lineRule="auto"/>
        <w:rPr>
          <w:rFonts w:ascii="仿宋" w:hAnsi="仿宋" w:eastAsia="仿宋" w:cs="仿宋"/>
          <w:b/>
          <w:bCs/>
          <w:szCs w:val="32"/>
        </w:rPr>
      </w:pPr>
      <w:r>
        <w:rPr>
          <w:rFonts w:hint="eastAsia" w:ascii="仿宋" w:hAnsi="仿宋" w:eastAsia="仿宋" w:cs="仿宋"/>
          <w:b/>
          <w:bCs/>
          <w:szCs w:val="32"/>
        </w:rPr>
        <w:t>预算年度：</w:t>
      </w:r>
      <w:r>
        <w:rPr>
          <w:rFonts w:hint="eastAsia" w:ascii="仿宋" w:hAnsi="仿宋" w:eastAsia="仿宋" w:cs="仿宋"/>
          <w:b/>
          <w:bCs/>
          <w:szCs w:val="32"/>
          <w:u w:val="single"/>
        </w:rPr>
        <w:t>202</w:t>
      </w:r>
      <w:r>
        <w:rPr>
          <w:rFonts w:hint="eastAsia" w:ascii="仿宋" w:hAnsi="仿宋" w:eastAsia="仿宋" w:cs="仿宋"/>
          <w:b/>
          <w:bCs/>
          <w:szCs w:val="32"/>
          <w:u w:val="single"/>
          <w:lang w:val="en-US" w:eastAsia="zh-CN"/>
        </w:rPr>
        <w:t>2</w:t>
      </w:r>
      <w:r>
        <w:rPr>
          <w:rFonts w:hint="eastAsia" w:ascii="仿宋" w:hAnsi="仿宋" w:eastAsia="仿宋" w:cs="仿宋"/>
          <w:b/>
          <w:bCs/>
          <w:szCs w:val="32"/>
          <w:u w:val="single"/>
        </w:rPr>
        <w:t xml:space="preserve">年                                        </w:t>
      </w:r>
    </w:p>
    <w:p>
      <w:pPr>
        <w:spacing w:line="300" w:lineRule="auto"/>
        <w:jc w:val="left"/>
        <w:rPr>
          <w:rFonts w:hint="eastAsia" w:ascii="仿宋" w:hAnsi="仿宋" w:eastAsia="仿宋" w:cs="仿宋"/>
          <w:b/>
          <w:bCs/>
          <w:szCs w:val="32"/>
        </w:rPr>
      </w:pPr>
      <w:r>
        <w:rPr>
          <w:rFonts w:hint="eastAsia" w:ascii="仿宋" w:hAnsi="仿宋" w:eastAsia="仿宋" w:cs="仿宋"/>
          <w:b/>
          <w:bCs/>
          <w:szCs w:val="32"/>
        </w:rPr>
        <w:t xml:space="preserve">评价类型：项目☑       政策□        部门整体□ </w:t>
      </w:r>
    </w:p>
    <w:p>
      <w:pPr>
        <w:spacing w:line="300" w:lineRule="auto"/>
        <w:jc w:val="left"/>
        <w:rPr>
          <w:rFonts w:hint="eastAsia" w:ascii="仿宋" w:hAnsi="仿宋" w:eastAsia="仿宋" w:cs="仿宋"/>
          <w:b/>
          <w:bCs/>
          <w:szCs w:val="32"/>
        </w:rPr>
      </w:pPr>
    </w:p>
    <w:p>
      <w:pPr>
        <w:spacing w:line="300" w:lineRule="auto"/>
        <w:rPr>
          <w:rFonts w:hint="eastAsia" w:ascii="仿宋" w:hAnsi="仿宋" w:eastAsia="仿宋" w:cs="仿宋"/>
          <w:b/>
          <w:bCs/>
          <w:szCs w:val="32"/>
          <w:u w:val="single"/>
        </w:rPr>
      </w:pPr>
      <w:r>
        <w:rPr>
          <w:rFonts w:hint="eastAsia" w:ascii="仿宋" w:hAnsi="仿宋" w:eastAsia="仿宋" w:cs="仿宋"/>
          <w:b/>
          <w:bCs/>
          <w:szCs w:val="32"/>
        </w:rPr>
        <w:t>评价单位：</w:t>
      </w:r>
      <w:r>
        <w:rPr>
          <w:rFonts w:hint="eastAsia" w:ascii="仿宋" w:hAnsi="仿宋" w:eastAsia="仿宋" w:cs="仿宋"/>
          <w:b/>
          <w:bCs/>
          <w:szCs w:val="32"/>
          <w:u w:val="single"/>
        </w:rPr>
        <w:t xml:space="preserve">上会会计师事务所（特殊普通合伙） 湖北分所            </w:t>
      </w:r>
    </w:p>
    <w:p>
      <w:pPr>
        <w:spacing w:line="300" w:lineRule="auto"/>
        <w:rPr>
          <w:rFonts w:hint="eastAsia" w:ascii="仿宋" w:hAnsi="仿宋" w:eastAsia="仿宋" w:cs="仿宋"/>
          <w:b/>
          <w:bCs/>
          <w:szCs w:val="32"/>
        </w:rPr>
      </w:pPr>
      <w:r>
        <w:rPr>
          <w:rFonts w:hint="eastAsia" w:ascii="仿宋" w:hAnsi="仿宋" w:eastAsia="仿宋" w:cs="仿宋"/>
          <w:b/>
          <w:bCs/>
          <w:szCs w:val="32"/>
        </w:rPr>
        <w:t>主评人1：</w:t>
      </w:r>
      <w:r>
        <w:rPr>
          <w:rFonts w:hint="eastAsia" w:ascii="仿宋" w:hAnsi="仿宋" w:eastAsia="仿宋" w:cs="仿宋"/>
          <w:b/>
          <w:bCs/>
          <w:szCs w:val="32"/>
          <w:u w:val="single"/>
        </w:rPr>
        <w:t xml:space="preserve">                                                </w:t>
      </w:r>
      <w:r>
        <w:rPr>
          <w:rFonts w:hint="eastAsia" w:ascii="仿宋" w:hAnsi="仿宋" w:eastAsia="仿宋" w:cs="仿宋"/>
          <w:b/>
          <w:bCs/>
          <w:szCs w:val="32"/>
        </w:rPr>
        <w:t xml:space="preserve">                                  </w:t>
      </w:r>
    </w:p>
    <w:p>
      <w:pPr>
        <w:spacing w:line="300" w:lineRule="auto"/>
        <w:rPr>
          <w:rFonts w:hint="eastAsia" w:ascii="仿宋" w:hAnsi="仿宋" w:eastAsia="仿宋" w:cs="仿宋"/>
          <w:b/>
          <w:bCs/>
          <w:szCs w:val="32"/>
        </w:rPr>
      </w:pPr>
      <w:r>
        <w:rPr>
          <w:rFonts w:hint="eastAsia" w:ascii="仿宋" w:hAnsi="仿宋" w:eastAsia="仿宋" w:cs="仿宋"/>
          <w:b/>
          <w:bCs/>
          <w:szCs w:val="32"/>
        </w:rPr>
        <w:t>主评人2：</w:t>
      </w:r>
      <w:r>
        <w:rPr>
          <w:rFonts w:hint="eastAsia" w:ascii="仿宋" w:hAnsi="仿宋" w:eastAsia="仿宋" w:cs="仿宋"/>
          <w:b/>
          <w:bCs/>
          <w:szCs w:val="32"/>
          <w:u w:val="single"/>
        </w:rPr>
        <w:t xml:space="preserve">                                               </w:t>
      </w:r>
      <w:r>
        <w:rPr>
          <w:rFonts w:hint="eastAsia" w:ascii="仿宋" w:hAnsi="仿宋" w:eastAsia="仿宋" w:cs="仿宋"/>
          <w:b/>
          <w:bCs/>
          <w:szCs w:val="32"/>
        </w:rPr>
        <w:t xml:space="preserve"> </w:t>
      </w:r>
    </w:p>
    <w:p>
      <w:pPr>
        <w:spacing w:line="300" w:lineRule="auto"/>
        <w:rPr>
          <w:rFonts w:hint="eastAsia" w:ascii="仿宋" w:hAnsi="仿宋" w:eastAsia="仿宋" w:cs="仿宋"/>
          <w:b/>
          <w:bCs/>
          <w:szCs w:val="32"/>
        </w:rPr>
      </w:pPr>
      <w:r>
        <w:rPr>
          <w:rFonts w:hint="eastAsia" w:ascii="仿宋" w:hAnsi="仿宋" w:eastAsia="仿宋" w:cs="仿宋"/>
          <w:b/>
          <w:bCs/>
          <w:szCs w:val="32"/>
        </w:rPr>
        <w:t>专    家：</w:t>
      </w:r>
      <w:r>
        <w:rPr>
          <w:rFonts w:hint="eastAsia" w:ascii="仿宋" w:hAnsi="仿宋" w:eastAsia="仿宋" w:cs="仿宋"/>
          <w:b/>
          <w:bCs/>
          <w:szCs w:val="32"/>
          <w:u w:val="single"/>
        </w:rPr>
        <w:t xml:space="preserve">                                              </w:t>
      </w:r>
      <w:r>
        <w:rPr>
          <w:rFonts w:hint="eastAsia" w:ascii="仿宋" w:hAnsi="仿宋" w:eastAsia="仿宋" w:cs="仿宋"/>
          <w:b/>
          <w:bCs/>
          <w:szCs w:val="32"/>
        </w:rPr>
        <w:t xml:space="preserve"> </w:t>
      </w:r>
    </w:p>
    <w:p>
      <w:pPr>
        <w:spacing w:line="300" w:lineRule="auto"/>
        <w:rPr>
          <w:rFonts w:ascii="仿宋" w:hAnsi="仿宋" w:eastAsia="仿宋" w:cs="仿宋"/>
          <w:b/>
          <w:bCs/>
          <w:spacing w:val="0"/>
          <w:kern w:val="0"/>
          <w:sz w:val="36"/>
          <w:szCs w:val="36"/>
          <w:fitText w:val="360" w:id="-1447286526"/>
        </w:rPr>
        <w:sectPr>
          <w:pgSz w:w="11906" w:h="16838"/>
          <w:pgMar w:top="2098" w:right="1474" w:bottom="1984" w:left="1587" w:header="851" w:footer="992" w:gutter="0"/>
          <w:pgNumType w:fmt="numberInDash"/>
          <w:cols w:space="720" w:num="1"/>
          <w:docGrid w:type="linesAndChars" w:linePitch="579" w:charSpace="-1024"/>
        </w:sectPr>
      </w:pPr>
      <w:r>
        <w:rPr>
          <w:rFonts w:hint="eastAsia" w:ascii="仿宋" w:hAnsi="仿宋" w:eastAsia="仿宋" w:cs="仿宋"/>
          <w:b/>
          <w:bCs/>
          <w:szCs w:val="32"/>
        </w:rPr>
        <w:t>正式提交日期</w:t>
      </w:r>
      <w:r>
        <w:rPr>
          <w:rFonts w:hint="eastAsia" w:ascii="仿宋" w:hAnsi="仿宋" w:eastAsia="仿宋" w:cs="仿宋"/>
          <w:b/>
          <w:bCs/>
          <w:szCs w:val="32"/>
          <w:highlight w:val="none"/>
        </w:rPr>
        <w:t>：</w:t>
      </w:r>
      <w:r>
        <w:rPr>
          <w:rFonts w:hint="eastAsia" w:ascii="仿宋" w:hAnsi="仿宋" w:eastAsia="仿宋" w:cs="仿宋"/>
          <w:b/>
          <w:bCs/>
          <w:szCs w:val="32"/>
          <w:highlight w:val="none"/>
          <w:u w:val="single"/>
        </w:rPr>
        <w:t>202</w:t>
      </w:r>
      <w:r>
        <w:rPr>
          <w:rFonts w:hint="eastAsia" w:ascii="仿宋" w:hAnsi="仿宋" w:eastAsia="仿宋" w:cs="仿宋"/>
          <w:b/>
          <w:bCs/>
          <w:szCs w:val="32"/>
          <w:highlight w:val="none"/>
          <w:u w:val="single"/>
          <w:lang w:val="en-US" w:eastAsia="zh-CN"/>
        </w:rPr>
        <w:t>3</w:t>
      </w:r>
      <w:r>
        <w:rPr>
          <w:rFonts w:hint="eastAsia" w:ascii="仿宋" w:hAnsi="仿宋" w:eastAsia="仿宋" w:cs="仿宋"/>
          <w:b/>
          <w:bCs/>
          <w:szCs w:val="32"/>
          <w:highlight w:val="none"/>
          <w:u w:val="single"/>
        </w:rPr>
        <w:t>年</w:t>
      </w:r>
      <w:r>
        <w:rPr>
          <w:rFonts w:hint="eastAsia" w:ascii="仿宋" w:hAnsi="仿宋" w:eastAsia="仿宋" w:cs="仿宋"/>
          <w:b/>
          <w:bCs/>
          <w:szCs w:val="32"/>
          <w:highlight w:val="none"/>
          <w:u w:val="single"/>
          <w:lang w:val="en-US" w:eastAsia="zh-CN"/>
        </w:rPr>
        <w:t>9</w:t>
      </w:r>
      <w:r>
        <w:rPr>
          <w:rFonts w:hint="eastAsia" w:ascii="仿宋" w:hAnsi="仿宋" w:eastAsia="仿宋" w:cs="仿宋"/>
          <w:b/>
          <w:bCs/>
          <w:szCs w:val="32"/>
          <w:highlight w:val="none"/>
          <w:u w:val="single"/>
        </w:rPr>
        <w:t>月</w:t>
      </w:r>
      <w:r>
        <w:rPr>
          <w:rFonts w:hint="eastAsia" w:ascii="仿宋" w:hAnsi="仿宋" w:eastAsia="仿宋" w:cs="仿宋"/>
          <w:b/>
          <w:bCs/>
          <w:szCs w:val="32"/>
          <w:highlight w:val="none"/>
          <w:u w:val="single"/>
          <w:lang w:val="en-US" w:eastAsia="zh-CN"/>
        </w:rPr>
        <w:t>28</w:t>
      </w:r>
      <w:r>
        <w:rPr>
          <w:rFonts w:hint="eastAsia" w:ascii="仿宋" w:hAnsi="仿宋" w:eastAsia="仿宋" w:cs="仿宋"/>
          <w:b/>
          <w:bCs/>
          <w:szCs w:val="32"/>
          <w:highlight w:val="none"/>
          <w:u w:val="single"/>
        </w:rPr>
        <w:t xml:space="preserve">日     </w:t>
      </w:r>
      <w:r>
        <w:rPr>
          <w:rFonts w:hint="eastAsia" w:ascii="仿宋" w:hAnsi="仿宋" w:eastAsia="仿宋" w:cs="仿宋"/>
          <w:b/>
          <w:bCs/>
          <w:szCs w:val="32"/>
          <w:u w:val="single"/>
        </w:rPr>
        <w:t xml:space="preserve">                     </w:t>
      </w:r>
    </w:p>
    <w:p>
      <w:pPr>
        <w:pStyle w:val="6"/>
        <w:jc w:val="center"/>
        <w:rPr>
          <w:rFonts w:hint="eastAsia" w:ascii="仿宋" w:hAnsi="仿宋" w:eastAsia="仿宋" w:cs="仿宋"/>
          <w:color w:val="000000"/>
          <w:kern w:val="0"/>
          <w:sz w:val="28"/>
          <w:szCs w:val="32"/>
          <w:highlight w:val="none"/>
          <w:lang w:val="en-US" w:eastAsia="zh-CN" w:bidi="en-US"/>
        </w:rPr>
      </w:pPr>
      <w:r>
        <w:rPr>
          <w:rFonts w:hint="eastAsia" w:ascii="仿宋" w:hAnsi="仿宋" w:eastAsia="仿宋" w:cs="仿宋"/>
          <w:b/>
          <w:bCs/>
          <w:sz w:val="40"/>
          <w:szCs w:val="40"/>
          <w:highlight w:val="none"/>
        </w:rPr>
        <w:t>目 录</w:t>
      </w: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TOC \o "1-3" \h \u </w:instrText>
      </w:r>
      <w:r>
        <w:rPr>
          <w:rFonts w:hint="eastAsia" w:ascii="仿宋" w:hAnsi="仿宋" w:eastAsia="仿宋" w:cs="仿宋"/>
          <w:szCs w:val="32"/>
          <w:highlight w:val="none"/>
        </w:rPr>
        <w:fldChar w:fldCharType="separate"/>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_Toc26434 </w:instrText>
      </w:r>
      <w:r>
        <w:rPr>
          <w:rFonts w:hint="eastAsia" w:ascii="仿宋" w:hAnsi="仿宋" w:eastAsia="仿宋" w:cs="仿宋"/>
          <w:szCs w:val="32"/>
          <w:highlight w:val="none"/>
        </w:rPr>
        <w:fldChar w:fldCharType="separate"/>
      </w:r>
      <w:r>
        <w:rPr>
          <w:rFonts w:hint="eastAsia"/>
        </w:rPr>
        <w:t>1.1评价分数和等级</w:t>
      </w:r>
      <w:r>
        <w:tab/>
      </w:r>
      <w:r>
        <w:fldChar w:fldCharType="begin"/>
      </w:r>
      <w:r>
        <w:instrText xml:space="preserve"> PAGEREF _Toc26434 \h </w:instrText>
      </w:r>
      <w:r>
        <w:fldChar w:fldCharType="separate"/>
      </w:r>
      <w:r>
        <w:t>1</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_Toc10125 </w:instrText>
      </w:r>
      <w:r>
        <w:rPr>
          <w:rFonts w:hint="eastAsia" w:ascii="仿宋" w:hAnsi="仿宋" w:eastAsia="仿宋" w:cs="仿宋"/>
          <w:szCs w:val="32"/>
          <w:highlight w:val="none"/>
        </w:rPr>
        <w:fldChar w:fldCharType="separate"/>
      </w:r>
      <w:r>
        <w:rPr>
          <w:rFonts w:hint="eastAsia"/>
        </w:rPr>
        <w:t>1.2绩效目标完成情况分析</w:t>
      </w:r>
      <w:r>
        <w:tab/>
      </w:r>
      <w:r>
        <w:fldChar w:fldCharType="begin"/>
      </w:r>
      <w:r>
        <w:instrText xml:space="preserve"> PAGEREF _Toc10125 \h </w:instrText>
      </w:r>
      <w:r>
        <w:fldChar w:fldCharType="separate"/>
      </w:r>
      <w:r>
        <w:t>2</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_Toc7174 </w:instrText>
      </w:r>
      <w:r>
        <w:rPr>
          <w:rFonts w:hint="eastAsia" w:ascii="仿宋" w:hAnsi="仿宋" w:eastAsia="仿宋" w:cs="仿宋"/>
          <w:szCs w:val="32"/>
          <w:highlight w:val="none"/>
        </w:rPr>
        <w:fldChar w:fldCharType="separate"/>
      </w:r>
      <w:r>
        <w:rPr>
          <w:rFonts w:hint="eastAsia"/>
        </w:rPr>
        <w:t>1.2.1决策。权重</w:t>
      </w:r>
      <w:r>
        <w:rPr>
          <w:rFonts w:hint="eastAsia"/>
          <w:lang w:val="en-US" w:eastAsia="zh-CN"/>
        </w:rPr>
        <w:t>20</w:t>
      </w:r>
      <w:r>
        <w:rPr>
          <w:rFonts w:hint="eastAsia"/>
        </w:rPr>
        <w:t>分，得分</w:t>
      </w:r>
      <w:r>
        <w:rPr>
          <w:rFonts w:hint="eastAsia"/>
          <w:lang w:val="en-US" w:eastAsia="zh-CN"/>
        </w:rPr>
        <w:t>19</w:t>
      </w:r>
      <w:r>
        <w:rPr>
          <w:rFonts w:hint="eastAsia"/>
        </w:rPr>
        <w:t>分，扣</w:t>
      </w:r>
      <w:r>
        <w:rPr>
          <w:rFonts w:hint="eastAsia"/>
          <w:lang w:val="en-US" w:eastAsia="zh-CN"/>
        </w:rPr>
        <w:t>1</w:t>
      </w:r>
      <w:r>
        <w:rPr>
          <w:rFonts w:hint="eastAsia"/>
        </w:rPr>
        <w:t>分</w:t>
      </w:r>
      <w:r>
        <w:tab/>
      </w:r>
      <w:r>
        <w:fldChar w:fldCharType="begin"/>
      </w:r>
      <w:r>
        <w:instrText xml:space="preserve"> PAGEREF _Toc7174 \h </w:instrText>
      </w:r>
      <w:r>
        <w:fldChar w:fldCharType="separate"/>
      </w:r>
      <w:r>
        <w:t>2</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_Toc23098 </w:instrText>
      </w:r>
      <w:r>
        <w:rPr>
          <w:rFonts w:hint="eastAsia" w:ascii="仿宋" w:hAnsi="仿宋" w:eastAsia="仿宋" w:cs="仿宋"/>
          <w:szCs w:val="32"/>
          <w:highlight w:val="none"/>
        </w:rPr>
        <w:fldChar w:fldCharType="separate"/>
      </w:r>
      <w:r>
        <w:rPr>
          <w:rFonts w:hint="eastAsia"/>
        </w:rPr>
        <w:t>1.2.2过程。权重</w:t>
      </w:r>
      <w:r>
        <w:rPr>
          <w:rFonts w:hint="eastAsia"/>
          <w:lang w:val="en-US" w:eastAsia="zh-CN"/>
        </w:rPr>
        <w:t>20</w:t>
      </w:r>
      <w:r>
        <w:rPr>
          <w:rFonts w:hint="eastAsia"/>
        </w:rPr>
        <w:t>分，得分</w:t>
      </w:r>
      <w:r>
        <w:rPr>
          <w:rFonts w:hint="eastAsia"/>
          <w:lang w:val="en-US" w:eastAsia="zh-CN"/>
        </w:rPr>
        <w:t>19.93</w:t>
      </w:r>
      <w:r>
        <w:rPr>
          <w:rFonts w:hint="eastAsia"/>
        </w:rPr>
        <w:t>分，扣</w:t>
      </w:r>
      <w:r>
        <w:rPr>
          <w:rFonts w:hint="eastAsia"/>
          <w:lang w:val="en-US" w:eastAsia="zh-CN"/>
        </w:rPr>
        <w:t>0.07</w:t>
      </w:r>
      <w:r>
        <w:rPr>
          <w:rFonts w:hint="eastAsia"/>
        </w:rPr>
        <w:t>分</w:t>
      </w:r>
      <w:r>
        <w:tab/>
      </w:r>
      <w:r>
        <w:fldChar w:fldCharType="begin"/>
      </w:r>
      <w:r>
        <w:instrText xml:space="preserve"> PAGEREF _Toc23098 \h </w:instrText>
      </w:r>
      <w:r>
        <w:fldChar w:fldCharType="separate"/>
      </w:r>
      <w:r>
        <w:t>2</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_Toc22964 </w:instrText>
      </w:r>
      <w:r>
        <w:rPr>
          <w:rFonts w:hint="eastAsia" w:ascii="仿宋" w:hAnsi="仿宋" w:eastAsia="仿宋" w:cs="仿宋"/>
          <w:szCs w:val="32"/>
          <w:highlight w:val="none"/>
        </w:rPr>
        <w:fldChar w:fldCharType="separate"/>
      </w:r>
      <w:r>
        <w:rPr>
          <w:rFonts w:hint="eastAsia"/>
        </w:rPr>
        <w:t>1.2.3产出。权重</w:t>
      </w:r>
      <w:r>
        <w:rPr>
          <w:rFonts w:hint="eastAsia"/>
          <w:lang w:val="en-US" w:eastAsia="zh-CN"/>
        </w:rPr>
        <w:t>40</w:t>
      </w:r>
      <w:r>
        <w:rPr>
          <w:rFonts w:hint="eastAsia"/>
        </w:rPr>
        <w:t>分，得分</w:t>
      </w:r>
      <w:r>
        <w:rPr>
          <w:rFonts w:hint="eastAsia"/>
          <w:lang w:val="en-US" w:eastAsia="zh-CN"/>
        </w:rPr>
        <w:t>29.5</w:t>
      </w:r>
      <w:r>
        <w:rPr>
          <w:rFonts w:hint="eastAsia"/>
        </w:rPr>
        <w:t>分，扣</w:t>
      </w:r>
      <w:r>
        <w:rPr>
          <w:rFonts w:hint="eastAsia"/>
          <w:lang w:val="en-US" w:eastAsia="zh-CN"/>
        </w:rPr>
        <w:t>10.5</w:t>
      </w:r>
      <w:r>
        <w:rPr>
          <w:rFonts w:hint="eastAsia"/>
        </w:rPr>
        <w:t>分</w:t>
      </w:r>
      <w:r>
        <w:tab/>
      </w:r>
      <w:r>
        <w:fldChar w:fldCharType="begin"/>
      </w:r>
      <w:r>
        <w:instrText xml:space="preserve"> PAGEREF _Toc22964 \h </w:instrText>
      </w:r>
      <w:r>
        <w:fldChar w:fldCharType="separate"/>
      </w:r>
      <w:r>
        <w:t>2</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_Toc17976 </w:instrText>
      </w:r>
      <w:r>
        <w:rPr>
          <w:rFonts w:hint="eastAsia" w:ascii="仿宋" w:hAnsi="仿宋" w:eastAsia="仿宋" w:cs="仿宋"/>
          <w:szCs w:val="32"/>
          <w:highlight w:val="none"/>
        </w:rPr>
        <w:fldChar w:fldCharType="separate"/>
      </w:r>
      <w:r>
        <w:rPr>
          <w:rFonts w:hint="eastAsia"/>
        </w:rPr>
        <w:t>1.2.4效果。权重</w:t>
      </w:r>
      <w:r>
        <w:rPr>
          <w:rFonts w:hint="eastAsia"/>
          <w:lang w:val="en-US" w:eastAsia="zh-CN"/>
        </w:rPr>
        <w:t>20</w:t>
      </w:r>
      <w:r>
        <w:rPr>
          <w:rFonts w:hint="eastAsia"/>
        </w:rPr>
        <w:t>分，得分</w:t>
      </w:r>
      <w:r>
        <w:rPr>
          <w:rFonts w:hint="eastAsia"/>
          <w:lang w:val="en-US" w:eastAsia="zh-CN"/>
        </w:rPr>
        <w:t>20</w:t>
      </w:r>
      <w:r>
        <w:rPr>
          <w:rFonts w:hint="eastAsia"/>
        </w:rPr>
        <w:t>分，</w:t>
      </w:r>
      <w:r>
        <w:rPr>
          <w:rFonts w:hint="eastAsia"/>
          <w:lang w:val="en-US" w:eastAsia="zh-CN"/>
        </w:rPr>
        <w:t>未扣分</w:t>
      </w:r>
      <w:r>
        <w:tab/>
      </w:r>
      <w:r>
        <w:fldChar w:fldCharType="begin"/>
      </w:r>
      <w:r>
        <w:instrText xml:space="preserve"> PAGEREF _Toc17976 \h </w:instrText>
      </w:r>
      <w:r>
        <w:fldChar w:fldCharType="separate"/>
      </w:r>
      <w:r>
        <w:t>3</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_Toc13380 </w:instrText>
      </w:r>
      <w:r>
        <w:rPr>
          <w:rFonts w:hint="eastAsia" w:ascii="仿宋" w:hAnsi="仿宋" w:eastAsia="仿宋" w:cs="仿宋"/>
          <w:szCs w:val="32"/>
          <w:highlight w:val="none"/>
        </w:rPr>
        <w:fldChar w:fldCharType="separate"/>
      </w:r>
      <w:r>
        <w:rPr>
          <w:rFonts w:hint="eastAsia"/>
          <w:highlight w:val="none"/>
        </w:rPr>
        <w:t>1.3存在的问题和原因</w:t>
      </w:r>
      <w:r>
        <w:tab/>
      </w:r>
      <w:r>
        <w:fldChar w:fldCharType="begin"/>
      </w:r>
      <w:r>
        <w:instrText xml:space="preserve"> PAGEREF _Toc13380 \h </w:instrText>
      </w:r>
      <w:r>
        <w:fldChar w:fldCharType="separate"/>
      </w:r>
      <w:r>
        <w:t>3</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_Toc12806 </w:instrText>
      </w:r>
      <w:r>
        <w:rPr>
          <w:rFonts w:hint="eastAsia" w:ascii="仿宋" w:hAnsi="仿宋" w:eastAsia="仿宋" w:cs="仿宋"/>
          <w:szCs w:val="32"/>
          <w:highlight w:val="none"/>
        </w:rPr>
        <w:fldChar w:fldCharType="separate"/>
      </w:r>
      <w:r>
        <w:rPr>
          <w:rFonts w:hint="eastAsia"/>
        </w:rPr>
        <w:t>1.3.1以前年度结果应用的情况</w:t>
      </w:r>
      <w:r>
        <w:tab/>
      </w:r>
      <w:r>
        <w:fldChar w:fldCharType="begin"/>
      </w:r>
      <w:r>
        <w:instrText xml:space="preserve"> PAGEREF _Toc12806 \h </w:instrText>
      </w:r>
      <w:r>
        <w:fldChar w:fldCharType="separate"/>
      </w:r>
      <w:r>
        <w:t>3</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_Toc30977 </w:instrText>
      </w:r>
      <w:r>
        <w:rPr>
          <w:rFonts w:hint="eastAsia" w:ascii="仿宋" w:hAnsi="仿宋" w:eastAsia="仿宋" w:cs="仿宋"/>
          <w:szCs w:val="32"/>
          <w:highlight w:val="none"/>
        </w:rPr>
        <w:fldChar w:fldCharType="separate"/>
      </w:r>
      <w:r>
        <w:rPr>
          <w:rFonts w:hint="eastAsia"/>
        </w:rPr>
        <w:t>1.3.2本年度绩效管理存在的问题和原因</w:t>
      </w:r>
      <w:r>
        <w:tab/>
      </w:r>
      <w:r>
        <w:fldChar w:fldCharType="begin"/>
      </w:r>
      <w:r>
        <w:instrText xml:space="preserve"> PAGEREF _Toc30977 \h </w:instrText>
      </w:r>
      <w:r>
        <w:fldChar w:fldCharType="separate"/>
      </w:r>
      <w:r>
        <w:t>3</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_Toc23422 </w:instrText>
      </w:r>
      <w:r>
        <w:rPr>
          <w:rFonts w:hint="eastAsia" w:ascii="仿宋" w:hAnsi="仿宋" w:eastAsia="仿宋" w:cs="仿宋"/>
          <w:szCs w:val="32"/>
          <w:highlight w:val="none"/>
        </w:rPr>
        <w:fldChar w:fldCharType="separate"/>
      </w:r>
      <w:r>
        <w:rPr>
          <w:rFonts w:hint="eastAsia"/>
          <w:highlight w:val="none"/>
        </w:rPr>
        <w:t>1.4结果拟应用建议</w:t>
      </w:r>
      <w:r>
        <w:tab/>
      </w:r>
      <w:r>
        <w:fldChar w:fldCharType="begin"/>
      </w:r>
      <w:r>
        <w:instrText xml:space="preserve"> PAGEREF _Toc23422 \h </w:instrText>
      </w:r>
      <w:r>
        <w:fldChar w:fldCharType="separate"/>
      </w:r>
      <w:r>
        <w:t>4</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_Toc25898 </w:instrText>
      </w:r>
      <w:r>
        <w:rPr>
          <w:rFonts w:hint="eastAsia" w:ascii="仿宋" w:hAnsi="仿宋" w:eastAsia="仿宋" w:cs="仿宋"/>
          <w:szCs w:val="32"/>
          <w:highlight w:val="none"/>
        </w:rPr>
        <w:fldChar w:fldCharType="separate"/>
      </w:r>
      <w:r>
        <w:rPr>
          <w:rFonts w:hint="eastAsia"/>
        </w:rPr>
        <w:t>1.4.1进一步</w:t>
      </w:r>
      <w:r>
        <w:rPr>
          <w:rFonts w:hint="eastAsia"/>
          <w:lang w:val="en-US" w:eastAsia="zh-CN"/>
        </w:rPr>
        <w:t>加强</w:t>
      </w:r>
      <w:r>
        <w:rPr>
          <w:rFonts w:hint="eastAsia"/>
        </w:rPr>
        <w:t>绩效管理工作</w:t>
      </w:r>
      <w:r>
        <w:tab/>
      </w:r>
      <w:r>
        <w:fldChar w:fldCharType="begin"/>
      </w:r>
      <w:r>
        <w:instrText xml:space="preserve"> PAGEREF _Toc25898 \h </w:instrText>
      </w:r>
      <w:r>
        <w:fldChar w:fldCharType="separate"/>
      </w:r>
      <w:r>
        <w:t>4</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_Toc28269 </w:instrText>
      </w:r>
      <w:r>
        <w:rPr>
          <w:rFonts w:hint="eastAsia" w:ascii="仿宋" w:hAnsi="仿宋" w:eastAsia="仿宋" w:cs="仿宋"/>
          <w:szCs w:val="32"/>
          <w:highlight w:val="none"/>
        </w:rPr>
        <w:fldChar w:fldCharType="separate"/>
      </w:r>
      <w:r>
        <w:rPr>
          <w:rFonts w:hint="eastAsia"/>
        </w:rPr>
        <w:t>1.4.</w:t>
      </w:r>
      <w:r>
        <w:rPr>
          <w:rFonts w:hint="eastAsia"/>
          <w:lang w:val="en-US" w:eastAsia="zh-CN"/>
        </w:rPr>
        <w:t>2及时推进项目实施</w:t>
      </w:r>
      <w:r>
        <w:tab/>
      </w:r>
      <w:r>
        <w:fldChar w:fldCharType="begin"/>
      </w:r>
      <w:r>
        <w:instrText xml:space="preserve"> PAGEREF _Toc28269 \h </w:instrText>
      </w:r>
      <w:r>
        <w:fldChar w:fldCharType="separate"/>
      </w:r>
      <w:r>
        <w:t>4</w:t>
      </w:r>
      <w:r>
        <w:fldChar w:fldCharType="end"/>
      </w:r>
      <w:r>
        <w:rPr>
          <w:rFonts w:hint="eastAsia" w:ascii="仿宋" w:hAnsi="仿宋" w:eastAsia="仿宋" w:cs="仿宋"/>
          <w:szCs w:val="32"/>
          <w:highlight w:val="none"/>
        </w:rPr>
        <w:fldChar w:fldCharType="end"/>
      </w:r>
    </w:p>
    <w:p>
      <w:pPr>
        <w:jc w:val="center"/>
        <w:rPr>
          <w:rFonts w:ascii="仿宋_GB2312" w:hAnsi="Times New Roman" w:eastAsia="仿宋_GB2312" w:cs="Times New Roman"/>
          <w:kern w:val="2"/>
          <w:sz w:val="32"/>
          <w:lang w:val="en-US" w:eastAsia="zh-CN" w:bidi="ar-SA"/>
        </w:rPr>
      </w:pPr>
      <w:r>
        <w:rPr>
          <w:rFonts w:hint="eastAsia" w:ascii="仿宋" w:hAnsi="仿宋" w:eastAsia="仿宋" w:cs="仿宋"/>
          <w:szCs w:val="32"/>
          <w:highlight w:val="none"/>
        </w:rPr>
        <w:fldChar w:fldCharType="end"/>
      </w:r>
    </w:p>
    <w:p>
      <w:pPr>
        <w:rPr>
          <w:rFonts w:ascii="仿宋_GB2312" w:hAnsi="Times New Roman" w:eastAsia="仿宋_GB2312" w:cs="Times New Roman"/>
          <w:kern w:val="2"/>
          <w:sz w:val="32"/>
          <w:lang w:val="en-US" w:eastAsia="zh-CN" w:bidi="ar-SA"/>
        </w:rPr>
      </w:pPr>
    </w:p>
    <w:p>
      <w:pPr>
        <w:pStyle w:val="6"/>
        <w:rPr>
          <w:rFonts w:ascii="仿宋_GB2312" w:hAnsi="Times New Roman" w:eastAsia="仿宋_GB2312" w:cs="Times New Roman"/>
          <w:kern w:val="2"/>
          <w:sz w:val="32"/>
          <w:lang w:val="en-US" w:eastAsia="zh-CN" w:bidi="ar-SA"/>
        </w:rPr>
      </w:pPr>
    </w:p>
    <w:p>
      <w:pPr>
        <w:rPr>
          <w:rFonts w:ascii="仿宋_GB2312" w:hAnsi="Times New Roman" w:eastAsia="仿宋_GB2312" w:cs="Times New Roman"/>
          <w:kern w:val="2"/>
          <w:sz w:val="32"/>
          <w:lang w:val="en-US" w:eastAsia="zh-CN" w:bidi="ar-SA"/>
        </w:rPr>
      </w:pPr>
    </w:p>
    <w:p>
      <w:pPr>
        <w:rPr>
          <w:lang w:val="en-US" w:eastAsia="zh-CN"/>
        </w:rPr>
      </w:pPr>
    </w:p>
    <w:p>
      <w:pPr>
        <w:spacing w:line="560" w:lineRule="exact"/>
        <w:jc w:val="center"/>
        <w:outlineLvl w:val="9"/>
        <w:rPr>
          <w:rFonts w:hint="eastAsia" w:ascii="方正小标宋_GBK" w:hAnsi="方正小标宋_GBK" w:eastAsia="方正小标宋_GBK" w:cs="方正小标宋_GBK"/>
          <w:b/>
          <w:bCs/>
          <w:kern w:val="0"/>
          <w:sz w:val="36"/>
          <w:szCs w:val="36"/>
        </w:rPr>
        <w:sectPr>
          <w:pgSz w:w="11906" w:h="16838"/>
          <w:pgMar w:top="1440" w:right="1800" w:bottom="1440" w:left="1800" w:header="851" w:footer="992" w:gutter="0"/>
          <w:cols w:space="425" w:num="1"/>
          <w:docGrid w:type="lines" w:linePitch="312" w:charSpace="0"/>
        </w:sectPr>
      </w:pPr>
    </w:p>
    <w:p>
      <w:pPr>
        <w:spacing w:line="560" w:lineRule="exact"/>
        <w:jc w:val="center"/>
        <w:outlineLvl w:val="9"/>
        <w:rPr>
          <w:rFonts w:hint="eastAsia" w:ascii="方正小标宋_GBK" w:hAnsi="方正小标宋_GBK" w:eastAsia="方正小标宋_GBK" w:cs="方正小标宋_GBK"/>
          <w:b w:val="0"/>
          <w:bCs w:val="0"/>
          <w:kern w:val="0"/>
          <w:sz w:val="36"/>
          <w:szCs w:val="36"/>
        </w:rPr>
      </w:pPr>
      <w:bookmarkStart w:id="10" w:name="_Toc31839"/>
      <w:bookmarkStart w:id="11" w:name="_Toc3489"/>
      <w:r>
        <w:rPr>
          <w:rFonts w:hint="eastAsia" w:ascii="方正小标宋_GBK" w:hAnsi="方正小标宋_GBK" w:eastAsia="方正小标宋_GBK" w:cs="方正小标宋_GBK"/>
          <w:b w:val="0"/>
          <w:bCs w:val="0"/>
          <w:kern w:val="0"/>
          <w:sz w:val="36"/>
          <w:szCs w:val="36"/>
        </w:rPr>
        <w:t>202</w:t>
      </w:r>
      <w:r>
        <w:rPr>
          <w:rFonts w:hint="eastAsia" w:ascii="方正小标宋_GBK" w:hAnsi="方正小标宋_GBK" w:eastAsia="方正小标宋_GBK" w:cs="方正小标宋_GBK"/>
          <w:b w:val="0"/>
          <w:bCs w:val="0"/>
          <w:kern w:val="0"/>
          <w:sz w:val="36"/>
          <w:szCs w:val="36"/>
          <w:lang w:val="en-US" w:eastAsia="zh-CN"/>
        </w:rPr>
        <w:t>2</w:t>
      </w:r>
      <w:r>
        <w:rPr>
          <w:rFonts w:hint="eastAsia" w:ascii="方正小标宋_GBK" w:hAnsi="方正小标宋_GBK" w:eastAsia="方正小标宋_GBK" w:cs="方正小标宋_GBK"/>
          <w:b w:val="0"/>
          <w:bCs w:val="0"/>
          <w:kern w:val="0"/>
          <w:sz w:val="36"/>
          <w:szCs w:val="36"/>
        </w:rPr>
        <w:t>年</w:t>
      </w:r>
      <w:r>
        <w:rPr>
          <w:rFonts w:hint="eastAsia" w:ascii="方正小标宋_GBK" w:hAnsi="方正小标宋_GBK" w:eastAsia="方正小标宋_GBK" w:cs="方正小标宋_GBK"/>
          <w:b w:val="0"/>
          <w:bCs w:val="0"/>
          <w:kern w:val="0"/>
          <w:sz w:val="36"/>
          <w:szCs w:val="36"/>
          <w:lang w:val="en-US" w:eastAsia="zh-CN"/>
        </w:rPr>
        <w:t>食品药品检测</w:t>
      </w:r>
      <w:r>
        <w:rPr>
          <w:rFonts w:hint="eastAsia" w:ascii="方正小标宋_GBK" w:hAnsi="方正小标宋_GBK" w:eastAsia="方正小标宋_GBK" w:cs="方正小标宋_GBK"/>
          <w:b w:val="0"/>
          <w:bCs w:val="0"/>
          <w:kern w:val="0"/>
          <w:sz w:val="36"/>
          <w:szCs w:val="36"/>
        </w:rPr>
        <w:t>项目</w:t>
      </w:r>
      <w:bookmarkEnd w:id="10"/>
      <w:bookmarkEnd w:id="11"/>
    </w:p>
    <w:p>
      <w:pPr>
        <w:spacing w:line="560" w:lineRule="exact"/>
        <w:jc w:val="center"/>
        <w:outlineLvl w:val="9"/>
        <w:rPr>
          <w:rFonts w:hint="eastAsia" w:ascii="方正小标宋_GBK" w:hAnsi="方正小标宋_GBK" w:eastAsia="方正小标宋_GBK" w:cs="方正小标宋_GBK"/>
          <w:b w:val="0"/>
          <w:bCs w:val="0"/>
          <w:kern w:val="0"/>
          <w:sz w:val="36"/>
          <w:szCs w:val="36"/>
          <w:lang w:val="en-US" w:eastAsia="zh-CN"/>
        </w:rPr>
      </w:pPr>
      <w:bookmarkStart w:id="12" w:name="_Toc29233"/>
      <w:bookmarkStart w:id="13" w:name="_Toc31711"/>
      <w:bookmarkStart w:id="14" w:name="_Toc24628"/>
      <w:r>
        <w:rPr>
          <w:rFonts w:hint="eastAsia" w:ascii="方正小标宋_GBK" w:hAnsi="方正小标宋_GBK" w:eastAsia="方正小标宋_GBK" w:cs="方正小标宋_GBK"/>
          <w:b w:val="0"/>
          <w:bCs w:val="0"/>
          <w:kern w:val="0"/>
          <w:sz w:val="36"/>
          <w:szCs w:val="36"/>
          <w:lang w:val="en-US" w:eastAsia="zh-CN"/>
        </w:rPr>
        <w:t>绩效评价报告</w:t>
      </w:r>
      <w:bookmarkEnd w:id="12"/>
      <w:bookmarkEnd w:id="13"/>
      <w:bookmarkEnd w:id="14"/>
    </w:p>
    <w:p>
      <w:pPr>
        <w:spacing w:line="560" w:lineRule="exact"/>
        <w:jc w:val="center"/>
        <w:outlineLvl w:val="9"/>
        <w:rPr>
          <w:rFonts w:hint="eastAsia" w:ascii="楷体" w:hAnsi="楷体" w:eastAsia="楷体" w:cs="楷体"/>
          <w:szCs w:val="32"/>
        </w:rPr>
      </w:pPr>
      <w:bookmarkStart w:id="15" w:name="_Toc15748"/>
      <w:bookmarkStart w:id="16" w:name="_Toc23908"/>
      <w:bookmarkStart w:id="17" w:name="_Toc15281"/>
      <w:bookmarkStart w:id="18" w:name="_Toc2105"/>
      <w:bookmarkStart w:id="19" w:name="_Toc3567"/>
      <w:bookmarkStart w:id="20" w:name="_Toc1615"/>
      <w:bookmarkStart w:id="21" w:name="_Toc6958"/>
      <w:bookmarkStart w:id="22" w:name="_Toc4004"/>
      <w:bookmarkStart w:id="23" w:name="_Toc31958"/>
      <w:bookmarkStart w:id="24" w:name="_Toc14804"/>
      <w:bookmarkStart w:id="25" w:name="_Toc1735"/>
      <w:bookmarkStart w:id="26" w:name="_Toc14983"/>
      <w:bookmarkStart w:id="27" w:name="_Toc6385"/>
      <w:r>
        <w:rPr>
          <w:rFonts w:hint="eastAsia" w:ascii="楷体" w:hAnsi="楷体" w:eastAsia="楷体" w:cs="楷体"/>
          <w:szCs w:val="32"/>
        </w:rPr>
        <w:t>（</w:t>
      </w:r>
      <w:r>
        <w:rPr>
          <w:rFonts w:hint="eastAsia" w:ascii="楷体" w:hAnsi="楷体" w:eastAsia="楷体" w:cs="楷体"/>
          <w:szCs w:val="32"/>
          <w:lang w:val="en-US" w:eastAsia="zh-CN"/>
        </w:rPr>
        <w:t>摘要</w:t>
      </w:r>
      <w:r>
        <w:rPr>
          <w:rFonts w:hint="eastAsia" w:ascii="楷体" w:hAnsi="楷体" w:eastAsia="楷体" w:cs="楷体"/>
          <w:szCs w:val="32"/>
        </w:rPr>
        <w:t>版）</w:t>
      </w:r>
      <w:bookmarkEnd w:id="15"/>
      <w:bookmarkEnd w:id="16"/>
      <w:bookmarkEnd w:id="17"/>
      <w:bookmarkEnd w:id="18"/>
      <w:bookmarkEnd w:id="19"/>
      <w:bookmarkEnd w:id="20"/>
      <w:bookmarkEnd w:id="21"/>
      <w:bookmarkEnd w:id="22"/>
      <w:bookmarkEnd w:id="23"/>
      <w:bookmarkEnd w:id="24"/>
      <w:bookmarkEnd w:id="25"/>
      <w:bookmarkEnd w:id="26"/>
      <w:bookmarkEnd w:id="27"/>
    </w:p>
    <w:p>
      <w:pPr>
        <w:pStyle w:val="2"/>
        <w:rPr>
          <w:rFonts w:hint="eastAsia"/>
        </w:rPr>
      </w:pPr>
    </w:p>
    <w:p>
      <w:pPr>
        <w:pStyle w:val="4"/>
        <w:keepNext/>
        <w:keepLines/>
        <w:pageBreakBefore w:val="0"/>
        <w:widowControl w:val="0"/>
        <w:kinsoku/>
        <w:wordWrap/>
        <w:overflowPunct/>
        <w:topLinePunct w:val="0"/>
        <w:autoSpaceDE/>
        <w:autoSpaceDN/>
        <w:bidi w:val="0"/>
        <w:adjustRightInd/>
        <w:snapToGrid/>
        <w:ind w:firstLine="633"/>
        <w:textAlignment w:val="auto"/>
        <w:rPr>
          <w:rFonts w:hint="eastAsia"/>
        </w:rPr>
      </w:pPr>
      <w:bookmarkStart w:id="28" w:name="_Toc40281668"/>
      <w:bookmarkStart w:id="29" w:name="_Toc26434"/>
      <w:bookmarkStart w:id="30" w:name="_Toc25184"/>
      <w:bookmarkStart w:id="31" w:name="_Toc3527"/>
      <w:r>
        <w:rPr>
          <w:rFonts w:hint="eastAsia"/>
        </w:rPr>
        <w:t>1.1</w:t>
      </w:r>
      <w:bookmarkEnd w:id="28"/>
      <w:r>
        <w:rPr>
          <w:rFonts w:hint="eastAsia"/>
        </w:rPr>
        <w:t>评价分数和等级</w:t>
      </w:r>
      <w:bookmarkEnd w:id="29"/>
      <w:bookmarkEnd w:id="30"/>
      <w:bookmarkEnd w:id="31"/>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通城县</w:t>
      </w:r>
      <w:r>
        <w:rPr>
          <w:rFonts w:hint="eastAsia" w:ascii="仿宋" w:hAnsi="仿宋" w:eastAsia="仿宋" w:cs="仿宋"/>
          <w:sz w:val="32"/>
          <w:szCs w:val="32"/>
          <w:lang w:val="en-US" w:eastAsia="zh-CN"/>
        </w:rPr>
        <w:t>市场监督管理局</w:t>
      </w: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w:t>
      </w:r>
      <w:r>
        <w:rPr>
          <w:rFonts w:hint="eastAsia" w:ascii="仿宋" w:hAnsi="仿宋" w:eastAsia="仿宋" w:cs="仿宋"/>
          <w:sz w:val="32"/>
          <w:szCs w:val="32"/>
          <w:lang w:val="en-US" w:eastAsia="zh-CN"/>
        </w:rPr>
        <w:t>食品药品检测</w:t>
      </w:r>
      <w:r>
        <w:rPr>
          <w:rFonts w:hint="eastAsia" w:ascii="仿宋" w:hAnsi="仿宋" w:eastAsia="仿宋" w:cs="仿宋"/>
          <w:sz w:val="32"/>
          <w:szCs w:val="32"/>
        </w:rPr>
        <w:t>项目评价得分</w:t>
      </w:r>
      <w:r>
        <w:rPr>
          <w:rFonts w:hint="eastAsia" w:ascii="仿宋" w:hAnsi="仿宋" w:eastAsia="仿宋" w:cs="仿宋"/>
          <w:sz w:val="32"/>
          <w:szCs w:val="32"/>
          <w:highlight w:val="none"/>
          <w:lang w:val="en-US" w:eastAsia="zh-CN"/>
        </w:rPr>
        <w:t>88.43</w:t>
      </w:r>
      <w:r>
        <w:rPr>
          <w:rFonts w:hint="eastAsia" w:ascii="仿宋" w:hAnsi="仿宋" w:eastAsia="仿宋" w:cs="仿宋"/>
          <w:sz w:val="32"/>
          <w:szCs w:val="32"/>
        </w:rPr>
        <w:t>分，评价等级为</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良</w:t>
      </w:r>
      <w:r>
        <w:rPr>
          <w:rFonts w:hint="eastAsia" w:ascii="仿宋" w:hAnsi="仿宋" w:eastAsia="仿宋" w:cs="仿宋"/>
          <w:sz w:val="32"/>
          <w:szCs w:val="32"/>
          <w:highlight w:val="none"/>
        </w:rPr>
        <w:t>”</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rPr>
        <w:t>评分表如下：</w:t>
      </w:r>
    </w:p>
    <w:tbl>
      <w:tblPr>
        <w:tblStyle w:val="14"/>
        <w:tblW w:w="499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29"/>
        <w:gridCol w:w="1395"/>
        <w:gridCol w:w="4302"/>
        <w:gridCol w:w="998"/>
        <w:gridCol w:w="8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blHeader/>
        </w:trPr>
        <w:tc>
          <w:tcPr>
            <w:tcW w:w="844" w:type="pct"/>
            <w:shd w:val="clear" w:color="000000" w:fill="FFFFFF"/>
            <w:noWrap w:val="0"/>
            <w:vAlign w:val="center"/>
          </w:tcPr>
          <w:p>
            <w:pPr>
              <w:widowControl/>
              <w:jc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一级指标</w:t>
            </w:r>
          </w:p>
        </w:tc>
        <w:tc>
          <w:tcPr>
            <w:tcW w:w="770" w:type="pct"/>
            <w:shd w:val="clear" w:color="000000" w:fill="FFFFFF"/>
            <w:noWrap w:val="0"/>
            <w:vAlign w:val="center"/>
          </w:tcPr>
          <w:p>
            <w:pPr>
              <w:widowControl/>
              <w:jc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二级指标</w:t>
            </w:r>
          </w:p>
        </w:tc>
        <w:tc>
          <w:tcPr>
            <w:tcW w:w="2374" w:type="pct"/>
            <w:shd w:val="clear" w:color="000000" w:fill="FFFFFF"/>
            <w:noWrap w:val="0"/>
            <w:vAlign w:val="center"/>
          </w:tcPr>
          <w:p>
            <w:pPr>
              <w:widowControl/>
              <w:jc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三级指标</w:t>
            </w:r>
          </w:p>
        </w:tc>
        <w:tc>
          <w:tcPr>
            <w:tcW w:w="551" w:type="pct"/>
            <w:shd w:val="clear" w:color="000000" w:fill="FFFFFF"/>
            <w:noWrap w:val="0"/>
            <w:vAlign w:val="center"/>
          </w:tcPr>
          <w:p>
            <w:pPr>
              <w:widowControl/>
              <w:jc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分值</w:t>
            </w:r>
          </w:p>
        </w:tc>
        <w:tc>
          <w:tcPr>
            <w:tcW w:w="459" w:type="pct"/>
            <w:shd w:val="clear" w:color="000000" w:fill="FFFFFF"/>
            <w:noWrap w:val="0"/>
            <w:vAlign w:val="center"/>
          </w:tcPr>
          <w:p>
            <w:pPr>
              <w:widowControl/>
              <w:jc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决策（</w:t>
            </w:r>
            <w:r>
              <w:rPr>
                <w:rFonts w:hint="eastAsia" w:ascii="仿宋" w:hAnsi="仿宋" w:eastAsia="仿宋" w:cs="仿宋"/>
                <w:color w:val="000000"/>
                <w:kern w:val="0"/>
                <w:sz w:val="24"/>
                <w:szCs w:val="24"/>
                <w:lang w:val="en-US" w:eastAsia="zh-CN"/>
              </w:rPr>
              <w:t>20</w:t>
            </w:r>
            <w:r>
              <w:rPr>
                <w:rFonts w:hint="eastAsia" w:ascii="仿宋" w:hAnsi="仿宋" w:eastAsia="仿宋" w:cs="仿宋"/>
                <w:color w:val="000000"/>
                <w:kern w:val="0"/>
                <w:sz w:val="24"/>
                <w:szCs w:val="24"/>
              </w:rPr>
              <w:t>分）　</w:t>
            </w:r>
          </w:p>
        </w:tc>
        <w:tc>
          <w:tcPr>
            <w:tcW w:w="770"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项目立项　</w:t>
            </w:r>
          </w:p>
        </w:tc>
        <w:tc>
          <w:tcPr>
            <w:tcW w:w="2374" w:type="pct"/>
            <w:shd w:val="clear" w:color="000000" w:fill="FFFFFF"/>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立项依据充分性</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w:t>
            </w:r>
          </w:p>
        </w:tc>
        <w:tc>
          <w:tcPr>
            <w:tcW w:w="459"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2374" w:type="pct"/>
            <w:shd w:val="clear" w:color="000000" w:fill="FFFFFF"/>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立项程序规范性</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3</w:t>
            </w:r>
          </w:p>
        </w:tc>
        <w:tc>
          <w:tcPr>
            <w:tcW w:w="459"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3.00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绩效目标　</w:t>
            </w:r>
          </w:p>
        </w:tc>
        <w:tc>
          <w:tcPr>
            <w:tcW w:w="2374" w:type="pct"/>
            <w:shd w:val="clear" w:color="000000" w:fill="FFFFFF"/>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绩效目标合理性</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w:t>
            </w:r>
          </w:p>
        </w:tc>
        <w:tc>
          <w:tcPr>
            <w:tcW w:w="459"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FF"/>
                <w:kern w:val="0"/>
                <w:sz w:val="24"/>
                <w:szCs w:val="24"/>
              </w:rPr>
            </w:pPr>
          </w:p>
        </w:tc>
        <w:tc>
          <w:tcPr>
            <w:tcW w:w="770" w:type="pct"/>
            <w:vMerge w:val="continue"/>
            <w:shd w:val="clear" w:color="auto" w:fill="auto"/>
            <w:noWrap w:val="0"/>
            <w:vAlign w:val="center"/>
          </w:tcPr>
          <w:p>
            <w:pPr>
              <w:widowControl/>
              <w:jc w:val="left"/>
              <w:rPr>
                <w:rFonts w:hint="eastAsia" w:ascii="仿宋" w:hAnsi="仿宋" w:eastAsia="仿宋" w:cs="仿宋"/>
                <w:color w:val="0000FF"/>
                <w:kern w:val="0"/>
                <w:sz w:val="24"/>
                <w:szCs w:val="24"/>
              </w:rPr>
            </w:pPr>
          </w:p>
        </w:tc>
        <w:tc>
          <w:tcPr>
            <w:tcW w:w="2374" w:type="pct"/>
            <w:shd w:val="clear" w:color="000000" w:fill="FFFFFF"/>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绩效指标明确性</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rPr>
              <w:t>3</w:t>
            </w:r>
          </w:p>
        </w:tc>
        <w:tc>
          <w:tcPr>
            <w:tcW w:w="459"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资金投入</w:t>
            </w:r>
          </w:p>
        </w:tc>
        <w:tc>
          <w:tcPr>
            <w:tcW w:w="2374" w:type="pct"/>
            <w:shd w:val="clear" w:color="000000" w:fill="FFFFFF"/>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预算编制科学性</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rPr>
              <w:t>4</w:t>
            </w:r>
          </w:p>
        </w:tc>
        <w:tc>
          <w:tcPr>
            <w:tcW w:w="459"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2374" w:type="pct"/>
            <w:shd w:val="clear" w:color="000000" w:fill="FFFFFF"/>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资金分配合理性</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2</w:t>
            </w:r>
          </w:p>
        </w:tc>
        <w:tc>
          <w:tcPr>
            <w:tcW w:w="459"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rPr>
            </w:pP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过程（2</w:t>
            </w:r>
            <w:r>
              <w:rPr>
                <w:rFonts w:hint="eastAsia" w:ascii="仿宋" w:hAnsi="仿宋" w:eastAsia="仿宋" w:cs="仿宋"/>
                <w:color w:val="000000"/>
                <w:kern w:val="0"/>
                <w:sz w:val="24"/>
                <w:szCs w:val="24"/>
                <w:lang w:val="en-US" w:eastAsia="zh-CN"/>
              </w:rPr>
              <w:t>0</w:t>
            </w:r>
            <w:r>
              <w:rPr>
                <w:rFonts w:hint="eastAsia" w:ascii="仿宋" w:hAnsi="仿宋" w:eastAsia="仿宋" w:cs="仿宋"/>
                <w:color w:val="000000"/>
                <w:kern w:val="0"/>
                <w:sz w:val="24"/>
                <w:szCs w:val="24"/>
              </w:rPr>
              <w:t>分）</w:t>
            </w:r>
          </w:p>
          <w:p>
            <w:pPr>
              <w:widowControl/>
              <w:jc w:val="center"/>
              <w:rPr>
                <w:rFonts w:hint="eastAsia" w:ascii="仿宋" w:hAnsi="仿宋" w:eastAsia="仿宋" w:cs="仿宋"/>
                <w:color w:val="000000"/>
                <w:kern w:val="0"/>
                <w:sz w:val="24"/>
                <w:szCs w:val="24"/>
              </w:rPr>
            </w:pPr>
          </w:p>
        </w:tc>
        <w:tc>
          <w:tcPr>
            <w:tcW w:w="770"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资金管理</w:t>
            </w:r>
          </w:p>
        </w:tc>
        <w:tc>
          <w:tcPr>
            <w:tcW w:w="2374" w:type="pct"/>
            <w:shd w:val="clear" w:color="000000" w:fill="FFFFFF"/>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资金到位率</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w:t>
            </w:r>
          </w:p>
        </w:tc>
        <w:tc>
          <w:tcPr>
            <w:tcW w:w="459"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3.93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2374" w:type="pct"/>
            <w:shd w:val="clear" w:color="000000" w:fill="FFFFFF"/>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预算执行率</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w:t>
            </w:r>
          </w:p>
        </w:tc>
        <w:tc>
          <w:tcPr>
            <w:tcW w:w="459"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2374" w:type="pct"/>
            <w:shd w:val="clear" w:color="000000" w:fill="FFFFFF"/>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资金使用合规性</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w:t>
            </w:r>
          </w:p>
        </w:tc>
        <w:tc>
          <w:tcPr>
            <w:tcW w:w="459"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7" w:hRule="atLeast"/>
        </w:trPr>
        <w:tc>
          <w:tcPr>
            <w:tcW w:w="844" w:type="pct"/>
            <w:vMerge w:val="continue"/>
            <w:shd w:val="clear" w:color="auto" w:fill="auto"/>
            <w:noWrap w:val="0"/>
            <w:vAlign w:val="center"/>
          </w:tcPr>
          <w:p>
            <w:pPr>
              <w:widowControl/>
              <w:jc w:val="center"/>
              <w:rPr>
                <w:rFonts w:hint="eastAsia" w:ascii="仿宋" w:hAnsi="仿宋" w:eastAsia="仿宋" w:cs="仿宋"/>
                <w:color w:val="000000"/>
                <w:kern w:val="0"/>
                <w:sz w:val="24"/>
                <w:szCs w:val="24"/>
              </w:rPr>
            </w:pPr>
          </w:p>
        </w:tc>
        <w:tc>
          <w:tcPr>
            <w:tcW w:w="770"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组织实施</w:t>
            </w:r>
          </w:p>
        </w:tc>
        <w:tc>
          <w:tcPr>
            <w:tcW w:w="2374" w:type="pct"/>
            <w:shd w:val="clear" w:color="000000" w:fill="FFFFFF"/>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管理制度健全性</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w:t>
            </w:r>
          </w:p>
        </w:tc>
        <w:tc>
          <w:tcPr>
            <w:tcW w:w="459"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2374" w:type="pct"/>
            <w:shd w:val="clear" w:color="000000" w:fill="FFFFFF"/>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制度执行有效性</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rPr>
              <w:t>4</w:t>
            </w:r>
          </w:p>
        </w:tc>
        <w:tc>
          <w:tcPr>
            <w:tcW w:w="459"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产出（</w:t>
            </w:r>
            <w:r>
              <w:rPr>
                <w:rFonts w:hint="eastAsia" w:ascii="仿宋" w:hAnsi="仿宋" w:eastAsia="仿宋" w:cs="仿宋"/>
                <w:color w:val="000000"/>
                <w:kern w:val="0"/>
                <w:sz w:val="24"/>
                <w:szCs w:val="24"/>
                <w:lang w:val="en-US" w:eastAsia="zh-CN"/>
              </w:rPr>
              <w:t>4</w:t>
            </w:r>
            <w:r>
              <w:rPr>
                <w:rFonts w:hint="eastAsia" w:ascii="仿宋" w:hAnsi="仿宋" w:eastAsia="仿宋" w:cs="仿宋"/>
                <w:color w:val="000000"/>
                <w:kern w:val="0"/>
                <w:sz w:val="24"/>
                <w:szCs w:val="24"/>
              </w:rPr>
              <w:t>0分）</w:t>
            </w:r>
          </w:p>
        </w:tc>
        <w:tc>
          <w:tcPr>
            <w:tcW w:w="770"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产出数量</w:t>
            </w:r>
          </w:p>
        </w:tc>
        <w:tc>
          <w:tcPr>
            <w:tcW w:w="2374" w:type="pct"/>
            <w:shd w:val="clear" w:color="000000" w:fill="FFFFFF"/>
            <w:noWrap w:val="0"/>
            <w:vAlign w:val="center"/>
          </w:tcPr>
          <w:p>
            <w:pPr>
              <w:widowControl/>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食品药品检测批次</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7</w:t>
            </w:r>
          </w:p>
        </w:tc>
        <w:tc>
          <w:tcPr>
            <w:tcW w:w="459" w:type="pct"/>
            <w:shd w:val="clear" w:color="000000" w:fill="FFFFFF"/>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7.00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000000" w:fill="FFFFFF"/>
            <w:noWrap w:val="0"/>
            <w:vAlign w:val="center"/>
          </w:tcPr>
          <w:p>
            <w:pPr>
              <w:widowControl/>
              <w:jc w:val="center"/>
              <w:rPr>
                <w:rFonts w:hint="eastAsia" w:ascii="仿宋" w:hAnsi="仿宋" w:eastAsia="仿宋" w:cs="仿宋"/>
                <w:color w:val="000000"/>
                <w:kern w:val="0"/>
                <w:sz w:val="24"/>
                <w:szCs w:val="24"/>
              </w:rPr>
            </w:pPr>
          </w:p>
        </w:tc>
        <w:tc>
          <w:tcPr>
            <w:tcW w:w="770" w:type="pct"/>
            <w:vMerge w:val="continue"/>
            <w:shd w:val="clear" w:color="000000" w:fill="FFFFFF"/>
            <w:noWrap w:val="0"/>
            <w:vAlign w:val="center"/>
          </w:tcPr>
          <w:p>
            <w:pPr>
              <w:widowControl/>
              <w:jc w:val="center"/>
              <w:rPr>
                <w:rFonts w:hint="eastAsia" w:ascii="仿宋" w:hAnsi="仿宋" w:eastAsia="仿宋" w:cs="仿宋"/>
                <w:color w:val="000000"/>
                <w:kern w:val="0"/>
                <w:sz w:val="24"/>
                <w:szCs w:val="24"/>
              </w:rPr>
            </w:pPr>
          </w:p>
        </w:tc>
        <w:tc>
          <w:tcPr>
            <w:tcW w:w="2374" w:type="pct"/>
            <w:shd w:val="clear" w:color="000000" w:fill="FFFFFF"/>
            <w:noWrap w:val="0"/>
            <w:vAlign w:val="center"/>
          </w:tcPr>
          <w:p>
            <w:pPr>
              <w:widowControl/>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工业产品检测批次</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7</w:t>
            </w:r>
          </w:p>
        </w:tc>
        <w:tc>
          <w:tcPr>
            <w:tcW w:w="459" w:type="pct"/>
            <w:shd w:val="clear" w:color="000000" w:fill="FFFFFF"/>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7.00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产出质量</w:t>
            </w:r>
          </w:p>
        </w:tc>
        <w:tc>
          <w:tcPr>
            <w:tcW w:w="2374" w:type="pct"/>
            <w:shd w:val="clear" w:color="000000" w:fill="FFFFFF"/>
            <w:noWrap w:val="0"/>
            <w:vAlign w:val="center"/>
          </w:tcPr>
          <w:p>
            <w:pPr>
              <w:widowControl/>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不合格食品及工业产品核查处置率</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3</w:t>
            </w:r>
          </w:p>
        </w:tc>
        <w:tc>
          <w:tcPr>
            <w:tcW w:w="459" w:type="pct"/>
            <w:shd w:val="clear" w:color="000000" w:fill="FFFFFF"/>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continue"/>
            <w:shd w:val="clear" w:color="000000" w:fill="FFFFFF"/>
            <w:noWrap w:val="0"/>
            <w:vAlign w:val="center"/>
          </w:tcPr>
          <w:p>
            <w:pPr>
              <w:widowControl/>
              <w:jc w:val="center"/>
              <w:rPr>
                <w:rFonts w:hint="eastAsia" w:ascii="仿宋" w:hAnsi="仿宋" w:eastAsia="仿宋" w:cs="仿宋"/>
                <w:color w:val="000000"/>
                <w:kern w:val="0"/>
                <w:sz w:val="24"/>
                <w:szCs w:val="24"/>
              </w:rPr>
            </w:pPr>
          </w:p>
        </w:tc>
        <w:tc>
          <w:tcPr>
            <w:tcW w:w="2374" w:type="pct"/>
            <w:shd w:val="clear" w:color="000000" w:fill="FFFFFF"/>
            <w:noWrap w:val="0"/>
            <w:vAlign w:val="center"/>
          </w:tcPr>
          <w:p>
            <w:pPr>
              <w:widowControl/>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重大违法案件查办率</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3</w:t>
            </w:r>
          </w:p>
        </w:tc>
        <w:tc>
          <w:tcPr>
            <w:tcW w:w="459" w:type="pct"/>
            <w:shd w:val="clear" w:color="000000" w:fill="FFFFFF"/>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continue"/>
            <w:shd w:val="clear" w:color="000000" w:fill="FFFFFF"/>
            <w:noWrap w:val="0"/>
            <w:vAlign w:val="center"/>
          </w:tcPr>
          <w:p>
            <w:pPr>
              <w:widowControl/>
              <w:jc w:val="center"/>
              <w:rPr>
                <w:rFonts w:hint="eastAsia" w:ascii="仿宋" w:hAnsi="仿宋" w:eastAsia="仿宋" w:cs="仿宋"/>
                <w:color w:val="000000"/>
                <w:kern w:val="0"/>
                <w:sz w:val="24"/>
                <w:szCs w:val="24"/>
              </w:rPr>
            </w:pPr>
          </w:p>
        </w:tc>
        <w:tc>
          <w:tcPr>
            <w:tcW w:w="2374" w:type="pct"/>
            <w:shd w:val="clear" w:color="000000" w:fill="FFFFFF"/>
            <w:noWrap w:val="0"/>
            <w:vAlign w:val="center"/>
          </w:tcPr>
          <w:p>
            <w:pPr>
              <w:widowControl/>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抽检信息公开情况</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10</w:t>
            </w:r>
          </w:p>
        </w:tc>
        <w:tc>
          <w:tcPr>
            <w:tcW w:w="459" w:type="pct"/>
            <w:shd w:val="clear" w:color="000000" w:fill="FFFFFF"/>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continue"/>
            <w:shd w:val="clear" w:color="000000" w:fill="FFFFFF"/>
            <w:noWrap w:val="0"/>
            <w:vAlign w:val="center"/>
          </w:tcPr>
          <w:p>
            <w:pPr>
              <w:widowControl/>
              <w:jc w:val="center"/>
              <w:rPr>
                <w:rFonts w:hint="eastAsia" w:ascii="仿宋" w:hAnsi="仿宋" w:eastAsia="仿宋" w:cs="仿宋"/>
                <w:color w:val="000000"/>
                <w:kern w:val="0"/>
                <w:sz w:val="24"/>
                <w:szCs w:val="24"/>
              </w:rPr>
            </w:pPr>
          </w:p>
        </w:tc>
        <w:tc>
          <w:tcPr>
            <w:tcW w:w="2374" w:type="pct"/>
            <w:shd w:val="clear" w:color="000000" w:fill="FFFFFF"/>
            <w:noWrap w:val="0"/>
            <w:vAlign w:val="center"/>
          </w:tcPr>
          <w:p>
            <w:pPr>
              <w:widowControl/>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出具产品检测报告内容披露明细程度</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5</w:t>
            </w:r>
          </w:p>
        </w:tc>
        <w:tc>
          <w:tcPr>
            <w:tcW w:w="459" w:type="pct"/>
            <w:shd w:val="clear" w:color="000000" w:fill="FFFFFF"/>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shd w:val="clear" w:color="000000" w:fill="FFFFFF"/>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产出时效</w:t>
            </w:r>
          </w:p>
        </w:tc>
        <w:tc>
          <w:tcPr>
            <w:tcW w:w="2374" w:type="pct"/>
            <w:shd w:val="clear" w:color="000000" w:fill="FFFFFF"/>
            <w:noWrap w:val="0"/>
            <w:vAlign w:val="center"/>
          </w:tcPr>
          <w:p>
            <w:pPr>
              <w:widowControl/>
              <w:jc w:val="center"/>
              <w:rPr>
                <w:rFonts w:hint="eastAsia" w:ascii="仿宋" w:hAnsi="仿宋" w:eastAsia="仿宋" w:cs="仿宋"/>
                <w:kern w:val="0"/>
                <w:sz w:val="24"/>
                <w:szCs w:val="24"/>
                <w:highlight w:val="yellow"/>
              </w:rPr>
            </w:pPr>
            <w:r>
              <w:rPr>
                <w:rFonts w:hint="eastAsia" w:ascii="仿宋" w:hAnsi="仿宋" w:eastAsia="仿宋" w:cs="仿宋"/>
                <w:i w:val="0"/>
                <w:iCs w:val="0"/>
                <w:kern w:val="0"/>
                <w:sz w:val="24"/>
                <w:szCs w:val="24"/>
                <w:highlight w:val="none"/>
              </w:rPr>
              <w:t>项目按期完成情况</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5</w:t>
            </w:r>
          </w:p>
        </w:tc>
        <w:tc>
          <w:tcPr>
            <w:tcW w:w="459" w:type="pct"/>
            <w:shd w:val="clear" w:color="000000" w:fill="FFFFFF"/>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效益（</w:t>
            </w:r>
            <w:r>
              <w:rPr>
                <w:rFonts w:hint="eastAsia" w:ascii="仿宋" w:hAnsi="仿宋" w:eastAsia="仿宋" w:cs="仿宋"/>
                <w:color w:val="000000"/>
                <w:kern w:val="0"/>
                <w:sz w:val="24"/>
                <w:szCs w:val="24"/>
                <w:lang w:val="en-US" w:eastAsia="zh-CN"/>
              </w:rPr>
              <w:t>2</w:t>
            </w:r>
            <w:r>
              <w:rPr>
                <w:rFonts w:hint="eastAsia" w:ascii="仿宋" w:hAnsi="仿宋" w:eastAsia="仿宋" w:cs="仿宋"/>
                <w:color w:val="000000"/>
                <w:kern w:val="0"/>
                <w:sz w:val="24"/>
                <w:szCs w:val="24"/>
              </w:rPr>
              <w:t>0分）　</w:t>
            </w:r>
          </w:p>
        </w:tc>
        <w:tc>
          <w:tcPr>
            <w:tcW w:w="770"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社会效益</w:t>
            </w:r>
          </w:p>
        </w:tc>
        <w:tc>
          <w:tcPr>
            <w:tcW w:w="2374" w:type="pct"/>
            <w:shd w:val="clear" w:color="000000" w:fill="FFFFFF"/>
            <w:noWrap w:val="0"/>
            <w:vAlign w:val="center"/>
          </w:tcPr>
          <w:p>
            <w:pPr>
              <w:widowControl/>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提升全县企业产品质量、整合资源</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5</w:t>
            </w:r>
          </w:p>
        </w:tc>
        <w:tc>
          <w:tcPr>
            <w:tcW w:w="459" w:type="pct"/>
            <w:shd w:val="clear" w:color="000000" w:fill="FFFFFF"/>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2374" w:type="pct"/>
            <w:shd w:val="clear" w:color="000000" w:fill="FFFFFF"/>
            <w:noWrap w:val="0"/>
            <w:vAlign w:val="center"/>
          </w:tcPr>
          <w:p>
            <w:pPr>
              <w:widowControl/>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提升全县检验检测水平及能力，大力推进质量建设工作</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5</w:t>
            </w:r>
          </w:p>
        </w:tc>
        <w:tc>
          <w:tcPr>
            <w:tcW w:w="459" w:type="pct"/>
            <w:shd w:val="clear" w:color="000000" w:fill="FFFFFF"/>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shd w:val="clear" w:color="auto" w:fill="auto"/>
            <w:noWrap w:val="0"/>
            <w:vAlign w:val="center"/>
          </w:tcPr>
          <w:p>
            <w:pPr>
              <w:widowControl/>
              <w:jc w:val="center"/>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满意度</w:t>
            </w:r>
          </w:p>
        </w:tc>
        <w:tc>
          <w:tcPr>
            <w:tcW w:w="2374" w:type="pct"/>
            <w:shd w:val="clear" w:color="000000" w:fill="FFFFFF"/>
            <w:noWrap w:val="0"/>
            <w:vAlign w:val="center"/>
          </w:tcPr>
          <w:p>
            <w:pPr>
              <w:widowControl/>
              <w:jc w:val="center"/>
              <w:rPr>
                <w:rFonts w:hint="eastAsia" w:ascii="仿宋" w:hAnsi="仿宋" w:eastAsia="仿宋" w:cs="仿宋"/>
                <w:kern w:val="0"/>
                <w:sz w:val="24"/>
                <w:szCs w:val="24"/>
                <w:highlight w:val="yellow"/>
              </w:rPr>
            </w:pPr>
            <w:r>
              <w:rPr>
                <w:rFonts w:hint="eastAsia" w:ascii="仿宋" w:hAnsi="仿宋" w:eastAsia="仿宋" w:cs="仿宋"/>
                <w:kern w:val="0"/>
                <w:sz w:val="24"/>
                <w:szCs w:val="24"/>
                <w:highlight w:val="none"/>
              </w:rPr>
              <w:t>群众满意度</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rPr>
              <w:t>10</w:t>
            </w:r>
          </w:p>
        </w:tc>
        <w:tc>
          <w:tcPr>
            <w:tcW w:w="459" w:type="pct"/>
            <w:shd w:val="clear" w:color="000000" w:fill="FFFFFF"/>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3" w:hRule="atLeast"/>
        </w:trPr>
        <w:tc>
          <w:tcPr>
            <w:tcW w:w="3988" w:type="pct"/>
            <w:gridSpan w:val="3"/>
            <w:shd w:val="clear" w:color="000000" w:fill="FFFFFF"/>
            <w:noWrap w:val="0"/>
            <w:vAlign w:val="center"/>
          </w:tcPr>
          <w:p>
            <w:pPr>
              <w:widowControl/>
              <w:jc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综合得分</w:t>
            </w:r>
          </w:p>
        </w:tc>
        <w:tc>
          <w:tcPr>
            <w:tcW w:w="551" w:type="pct"/>
            <w:shd w:val="clear" w:color="000000" w:fill="FFFFFF"/>
            <w:noWrap w:val="0"/>
            <w:vAlign w:val="center"/>
          </w:tcPr>
          <w:p>
            <w:pPr>
              <w:widowControl/>
              <w:jc w:val="center"/>
              <w:rPr>
                <w:rFonts w:hint="default" w:ascii="仿宋" w:hAnsi="仿宋" w:eastAsia="仿宋" w:cs="仿宋"/>
                <w:b/>
                <w:bCs/>
                <w:color w:val="000000"/>
                <w:kern w:val="0"/>
                <w:sz w:val="24"/>
                <w:szCs w:val="24"/>
                <w:lang w:val="en-US" w:eastAsia="zh-CN"/>
              </w:rPr>
            </w:pPr>
            <w:r>
              <w:rPr>
                <w:rFonts w:hint="eastAsia" w:ascii="仿宋" w:hAnsi="仿宋" w:eastAsia="仿宋" w:cs="仿宋"/>
                <w:b/>
                <w:bCs/>
                <w:color w:val="000000"/>
                <w:kern w:val="0"/>
                <w:sz w:val="24"/>
                <w:szCs w:val="24"/>
              </w:rPr>
              <w:t>100</w:t>
            </w:r>
          </w:p>
        </w:tc>
        <w:tc>
          <w:tcPr>
            <w:tcW w:w="459" w:type="pct"/>
            <w:shd w:val="clear" w:color="000000" w:fill="FFFFFF"/>
            <w:noWrap w:val="0"/>
            <w:vAlign w:val="center"/>
          </w:tcPr>
          <w:p>
            <w:pPr>
              <w:widowControl/>
              <w:jc w:val="center"/>
              <w:rPr>
                <w:rFonts w:hint="default" w:ascii="仿宋" w:hAnsi="仿宋" w:eastAsia="仿宋" w:cs="仿宋"/>
                <w:b/>
                <w:bCs/>
                <w:color w:val="000000"/>
                <w:kern w:val="0"/>
                <w:sz w:val="24"/>
                <w:szCs w:val="24"/>
                <w:lang w:val="en-US" w:eastAsia="zh-CN"/>
              </w:rPr>
            </w:pPr>
            <w:r>
              <w:rPr>
                <w:rFonts w:hint="eastAsia" w:ascii="仿宋" w:hAnsi="仿宋" w:eastAsia="仿宋" w:cs="仿宋"/>
                <w:b/>
                <w:bCs/>
                <w:color w:val="000000"/>
                <w:kern w:val="0"/>
                <w:sz w:val="24"/>
                <w:szCs w:val="24"/>
                <w:lang w:val="en-US" w:eastAsia="zh-CN"/>
              </w:rPr>
              <w:t>88.43</w:t>
            </w:r>
          </w:p>
        </w:tc>
      </w:tr>
    </w:tbl>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32" w:name="_Toc16435"/>
      <w:bookmarkStart w:id="33" w:name="_Toc10125"/>
      <w:bookmarkStart w:id="34" w:name="_Toc19364"/>
      <w:r>
        <w:rPr>
          <w:rFonts w:hint="eastAsia"/>
        </w:rPr>
        <w:t>1.2绩效目标完成情况分析</w:t>
      </w:r>
      <w:bookmarkEnd w:id="32"/>
      <w:bookmarkEnd w:id="33"/>
      <w:bookmarkEnd w:id="34"/>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35" w:name="_Toc10158"/>
      <w:bookmarkStart w:id="36" w:name="_Toc32108"/>
      <w:bookmarkStart w:id="37" w:name="_Toc7174"/>
      <w:r>
        <w:rPr>
          <w:rFonts w:hint="eastAsia"/>
        </w:rPr>
        <w:t>1.2.1决策。权重</w:t>
      </w:r>
      <w:r>
        <w:rPr>
          <w:rFonts w:hint="eastAsia"/>
          <w:lang w:val="en-US" w:eastAsia="zh-CN"/>
        </w:rPr>
        <w:t>20</w:t>
      </w:r>
      <w:r>
        <w:rPr>
          <w:rFonts w:hint="eastAsia"/>
        </w:rPr>
        <w:t>分，得分</w:t>
      </w:r>
      <w:r>
        <w:rPr>
          <w:rFonts w:hint="eastAsia"/>
          <w:lang w:val="en-US" w:eastAsia="zh-CN"/>
        </w:rPr>
        <w:t>19</w:t>
      </w:r>
      <w:r>
        <w:rPr>
          <w:rFonts w:hint="eastAsia"/>
        </w:rPr>
        <w:t>分，扣</w:t>
      </w:r>
      <w:r>
        <w:rPr>
          <w:rFonts w:hint="eastAsia"/>
          <w:lang w:val="en-US" w:eastAsia="zh-CN"/>
        </w:rPr>
        <w:t>1</w:t>
      </w:r>
      <w:r>
        <w:rPr>
          <w:rFonts w:hint="eastAsia"/>
        </w:rPr>
        <w:t>分</w:t>
      </w:r>
      <w:bookmarkEnd w:id="35"/>
      <w:bookmarkEnd w:id="36"/>
      <w:bookmarkEnd w:id="37"/>
    </w:p>
    <w:p>
      <w:pPr>
        <w:spacing w:line="560" w:lineRule="exact"/>
        <w:ind w:firstLine="640" w:firstLineChars="200"/>
        <w:rPr>
          <w:rFonts w:hint="eastAsia" w:ascii="仿宋" w:hAnsi="仿宋" w:eastAsia="仿宋" w:cs="仿宋"/>
          <w:highlight w:val="none"/>
          <w:lang w:val="en-US" w:eastAsia="zh-CN"/>
        </w:rPr>
      </w:pPr>
      <w:r>
        <w:rPr>
          <w:rFonts w:hint="eastAsia" w:ascii="仿宋" w:hAnsi="仿宋" w:eastAsia="仿宋" w:cs="仿宋"/>
          <w:highlight w:val="none"/>
        </w:rPr>
        <w:t>绩效指标明确性扣</w:t>
      </w:r>
      <w:r>
        <w:rPr>
          <w:rFonts w:hint="eastAsia" w:ascii="仿宋" w:hAnsi="仿宋" w:eastAsia="仿宋" w:cs="仿宋"/>
          <w:highlight w:val="none"/>
          <w:lang w:val="en-US" w:eastAsia="zh-CN"/>
        </w:rPr>
        <w:t>1</w:t>
      </w:r>
      <w:r>
        <w:rPr>
          <w:rFonts w:hint="eastAsia" w:ascii="仿宋" w:hAnsi="仿宋" w:eastAsia="仿宋" w:cs="仿宋"/>
          <w:highlight w:val="none"/>
        </w:rPr>
        <w:t>分</w:t>
      </w:r>
      <w:r>
        <w:rPr>
          <w:rFonts w:hint="eastAsia" w:ascii="仿宋" w:hAnsi="仿宋" w:eastAsia="仿宋" w:cs="仿宋"/>
          <w:highlight w:val="none"/>
          <w:lang w:eastAsia="zh-CN"/>
        </w:rPr>
        <w:t>。</w:t>
      </w:r>
      <w:r>
        <w:rPr>
          <w:rFonts w:hint="eastAsia" w:ascii="仿宋" w:hAnsi="仿宋" w:eastAsia="仿宋" w:cs="仿宋"/>
          <w:highlight w:val="none"/>
        </w:rPr>
        <w:t>绩效指标的完整性和科学性不足，</w:t>
      </w:r>
      <w:r>
        <w:rPr>
          <w:rFonts w:hint="eastAsia" w:ascii="仿宋" w:hAnsi="仿宋" w:eastAsia="仿宋" w:cs="仿宋"/>
          <w:highlight w:val="none"/>
          <w:lang w:val="en-US" w:eastAsia="zh-CN"/>
        </w:rPr>
        <w:t>产出指标当中的产出质量和效益指标的目标设置不够清晰、细化，可衡量程度不高。</w:t>
      </w:r>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38" w:name="_Toc9916"/>
      <w:bookmarkStart w:id="39" w:name="_Toc23098"/>
      <w:bookmarkStart w:id="40" w:name="_Toc1077"/>
      <w:r>
        <w:rPr>
          <w:rFonts w:hint="eastAsia"/>
        </w:rPr>
        <w:t>1.2.2过程。权重</w:t>
      </w:r>
      <w:r>
        <w:rPr>
          <w:rFonts w:hint="eastAsia"/>
          <w:lang w:val="en-US" w:eastAsia="zh-CN"/>
        </w:rPr>
        <w:t>20</w:t>
      </w:r>
      <w:r>
        <w:rPr>
          <w:rFonts w:hint="eastAsia"/>
        </w:rPr>
        <w:t>分</w:t>
      </w:r>
      <w:bookmarkEnd w:id="38"/>
      <w:r>
        <w:rPr>
          <w:rFonts w:hint="eastAsia"/>
        </w:rPr>
        <w:t>，得分</w:t>
      </w:r>
      <w:r>
        <w:rPr>
          <w:rFonts w:hint="eastAsia"/>
          <w:lang w:val="en-US" w:eastAsia="zh-CN"/>
        </w:rPr>
        <w:t>19.93</w:t>
      </w:r>
      <w:r>
        <w:rPr>
          <w:rFonts w:hint="eastAsia"/>
        </w:rPr>
        <w:t>分，扣</w:t>
      </w:r>
      <w:r>
        <w:rPr>
          <w:rFonts w:hint="eastAsia"/>
          <w:lang w:val="en-US" w:eastAsia="zh-CN"/>
        </w:rPr>
        <w:t>0.07</w:t>
      </w:r>
      <w:r>
        <w:rPr>
          <w:rFonts w:hint="eastAsia"/>
        </w:rPr>
        <w:t>分</w:t>
      </w:r>
      <w:bookmarkEnd w:id="39"/>
      <w:bookmarkEnd w:id="4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资金到位率扣0.07分。主要扣分原因是：2022年食品药品检测预算资金230.00万元，实际拨付到位资金226.00万元。</w:t>
      </w:r>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41" w:name="_Toc8194"/>
      <w:bookmarkStart w:id="42" w:name="_Toc22964"/>
      <w:r>
        <w:rPr>
          <w:rFonts w:hint="eastAsia"/>
        </w:rPr>
        <w:t>1.2.3产出。权重</w:t>
      </w:r>
      <w:r>
        <w:rPr>
          <w:rFonts w:hint="eastAsia"/>
          <w:lang w:val="en-US" w:eastAsia="zh-CN"/>
        </w:rPr>
        <w:t>40</w:t>
      </w:r>
      <w:r>
        <w:rPr>
          <w:rFonts w:hint="eastAsia"/>
        </w:rPr>
        <w:t>分</w:t>
      </w:r>
      <w:bookmarkEnd w:id="41"/>
      <w:r>
        <w:rPr>
          <w:rFonts w:hint="eastAsia"/>
        </w:rPr>
        <w:t>，得分</w:t>
      </w:r>
      <w:r>
        <w:rPr>
          <w:rFonts w:hint="eastAsia"/>
          <w:lang w:val="en-US" w:eastAsia="zh-CN"/>
        </w:rPr>
        <w:t>29.5</w:t>
      </w:r>
      <w:r>
        <w:rPr>
          <w:rFonts w:hint="eastAsia"/>
        </w:rPr>
        <w:t>分，扣</w:t>
      </w:r>
      <w:r>
        <w:rPr>
          <w:rFonts w:hint="eastAsia"/>
          <w:lang w:val="en-US" w:eastAsia="zh-CN"/>
        </w:rPr>
        <w:t>10.5</w:t>
      </w:r>
      <w:r>
        <w:rPr>
          <w:rFonts w:hint="eastAsia"/>
        </w:rPr>
        <w:t>分</w:t>
      </w:r>
      <w:bookmarkEnd w:id="42"/>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产出质量扣</w:t>
      </w:r>
      <w:r>
        <w:rPr>
          <w:rFonts w:hint="eastAsia" w:ascii="仿宋" w:hAnsi="仿宋" w:eastAsia="仿宋" w:cs="仿宋"/>
          <w:sz w:val="32"/>
          <w:szCs w:val="32"/>
          <w:highlight w:val="none"/>
          <w:lang w:val="en-US" w:eastAsia="zh-CN"/>
        </w:rPr>
        <w:t>10</w:t>
      </w:r>
      <w:r>
        <w:rPr>
          <w:rFonts w:hint="eastAsia" w:ascii="仿宋" w:hAnsi="仿宋" w:eastAsia="仿宋" w:cs="仿宋"/>
          <w:sz w:val="32"/>
          <w:szCs w:val="32"/>
          <w:highlight w:val="none"/>
        </w:rPr>
        <w:t>分</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主要扣分原因是</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根据现场核查</w:t>
      </w:r>
      <w:r>
        <w:rPr>
          <w:rFonts w:hint="eastAsia" w:ascii="仿宋" w:hAnsi="仿宋" w:eastAsia="仿宋" w:cs="仿宋"/>
          <w:sz w:val="32"/>
          <w:szCs w:val="32"/>
          <w:highlight w:val="none"/>
        </w:rPr>
        <w:t>食品抽检</w:t>
      </w:r>
      <w:r>
        <w:rPr>
          <w:rFonts w:hint="eastAsia" w:ascii="仿宋" w:hAnsi="仿宋" w:eastAsia="仿宋" w:cs="仿宋"/>
          <w:sz w:val="32"/>
          <w:szCs w:val="32"/>
          <w:highlight w:val="none"/>
          <w:lang w:val="en-US" w:eastAsia="zh-CN"/>
        </w:rPr>
        <w:t>信息</w:t>
      </w:r>
      <w:r>
        <w:rPr>
          <w:rFonts w:hint="eastAsia" w:ascii="仿宋" w:hAnsi="仿宋" w:eastAsia="仿宋" w:cs="仿宋"/>
          <w:sz w:val="32"/>
          <w:szCs w:val="32"/>
          <w:highlight w:val="none"/>
        </w:rPr>
        <w:t>公开1</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5</w:t>
      </w:r>
      <w:r>
        <w:rPr>
          <w:rFonts w:hint="eastAsia" w:ascii="仿宋" w:hAnsi="仿宋" w:eastAsia="仿宋" w:cs="仿宋"/>
          <w:sz w:val="32"/>
          <w:szCs w:val="32"/>
          <w:highlight w:val="none"/>
          <w:lang w:val="en-US" w:eastAsia="zh-CN"/>
        </w:rPr>
        <w:t>86</w:t>
      </w:r>
      <w:r>
        <w:rPr>
          <w:rFonts w:hint="eastAsia" w:ascii="仿宋" w:hAnsi="仿宋" w:eastAsia="仿宋" w:cs="仿宋"/>
          <w:sz w:val="32"/>
          <w:szCs w:val="32"/>
          <w:highlight w:val="none"/>
        </w:rPr>
        <w:t>个，工业产品抽检</w:t>
      </w:r>
      <w:r>
        <w:rPr>
          <w:rFonts w:hint="eastAsia" w:ascii="仿宋" w:hAnsi="仿宋" w:eastAsia="仿宋" w:cs="仿宋"/>
          <w:sz w:val="32"/>
          <w:szCs w:val="32"/>
          <w:highlight w:val="none"/>
          <w:lang w:val="en-US" w:eastAsia="zh-CN"/>
        </w:rPr>
        <w:t>信息</w:t>
      </w:r>
      <w:r>
        <w:rPr>
          <w:rFonts w:hint="eastAsia" w:ascii="仿宋" w:hAnsi="仿宋" w:eastAsia="仿宋" w:cs="仿宋"/>
          <w:sz w:val="32"/>
          <w:szCs w:val="32"/>
          <w:highlight w:val="none"/>
        </w:rPr>
        <w:t>公开115个，合计抽检</w:t>
      </w:r>
      <w:r>
        <w:rPr>
          <w:rFonts w:hint="eastAsia" w:ascii="仿宋" w:hAnsi="仿宋" w:eastAsia="仿宋" w:cs="仿宋"/>
          <w:sz w:val="32"/>
          <w:szCs w:val="32"/>
          <w:highlight w:val="none"/>
          <w:lang w:val="en-US" w:eastAsia="zh-CN"/>
        </w:rPr>
        <w:t>信息</w:t>
      </w:r>
      <w:r>
        <w:rPr>
          <w:rFonts w:hint="eastAsia" w:ascii="仿宋" w:hAnsi="仿宋" w:eastAsia="仿宋" w:cs="仿宋"/>
          <w:sz w:val="32"/>
          <w:szCs w:val="32"/>
          <w:highlight w:val="none"/>
        </w:rPr>
        <w:t>公开1</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7</w:t>
      </w:r>
      <w:r>
        <w:rPr>
          <w:rFonts w:hint="eastAsia" w:ascii="仿宋" w:hAnsi="仿宋" w:eastAsia="仿宋" w:cs="仿宋"/>
          <w:sz w:val="32"/>
          <w:szCs w:val="32"/>
          <w:highlight w:val="none"/>
          <w:lang w:val="en-US" w:eastAsia="zh-CN"/>
        </w:rPr>
        <w:t>01</w:t>
      </w:r>
      <w:r>
        <w:rPr>
          <w:rFonts w:hint="eastAsia" w:ascii="仿宋" w:hAnsi="仿宋" w:eastAsia="仿宋" w:cs="仿宋"/>
          <w:sz w:val="32"/>
          <w:szCs w:val="32"/>
          <w:highlight w:val="none"/>
        </w:rPr>
        <w:t>个，该项目实际抽检1</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99</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rPr>
        <w:t>个</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抽检信息公开率</w:t>
      </w:r>
      <w:r>
        <w:rPr>
          <w:rFonts w:hint="eastAsia" w:ascii="仿宋" w:hAnsi="仿宋" w:eastAsia="仿宋" w:cs="仿宋"/>
          <w:sz w:val="32"/>
          <w:szCs w:val="32"/>
          <w:highlight w:val="none"/>
          <w:lang w:val="en-US" w:eastAsia="zh-CN"/>
        </w:rPr>
        <w:t>为8</w:t>
      </w:r>
      <w:r>
        <w:rPr>
          <w:rFonts w:hint="eastAsia" w:ascii="仿宋" w:hAnsi="仿宋" w:eastAsia="仿宋" w:cs="仿宋"/>
          <w:sz w:val="32"/>
          <w:szCs w:val="32"/>
          <w:highlight w:val="none"/>
        </w:rPr>
        <w:t>5.</w:t>
      </w:r>
      <w:r>
        <w:rPr>
          <w:rFonts w:hint="eastAsia" w:ascii="仿宋" w:hAnsi="仿宋" w:eastAsia="仿宋" w:cs="仿宋"/>
          <w:sz w:val="32"/>
          <w:szCs w:val="32"/>
          <w:highlight w:val="none"/>
          <w:lang w:val="en-US" w:eastAsia="zh-CN"/>
        </w:rPr>
        <w:t>48</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未达到100%</w:t>
      </w:r>
      <w:r>
        <w:rPr>
          <w:rFonts w:hint="eastAsia" w:ascii="仿宋" w:hAnsi="仿宋" w:eastAsia="仿宋" w:cs="仿宋"/>
          <w:sz w:val="32"/>
          <w:szCs w:val="32"/>
          <w:highlight w:val="none"/>
          <w:lang w:eastAsia="zh-CN"/>
        </w:rPr>
        <w:t>；</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产出时效扣0.5分。主要扣分原因是：根据</w:t>
      </w:r>
      <w:r>
        <w:rPr>
          <w:rFonts w:hint="eastAsia" w:ascii="仿宋" w:hAnsi="仿宋" w:eastAsia="仿宋" w:cs="仿宋"/>
          <w:sz w:val="32"/>
          <w:szCs w:val="32"/>
          <w:lang w:val="en-US" w:eastAsia="zh-CN"/>
        </w:rPr>
        <w:t>通城县市场监督管理局《关于开展2022年度产品质量监督抽查工作的通知》规定，柴油车尾气处理液车用尿素液（AUS32）项目检查应于2022年11月30日之前完成，实际完成时间在2022年12月8日，抽检工作完成时间滞后。</w:t>
      </w:r>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lang w:eastAsia="zh-CN"/>
        </w:rPr>
      </w:pPr>
      <w:bookmarkStart w:id="43" w:name="_Toc276"/>
      <w:bookmarkStart w:id="44" w:name="_Toc16556"/>
      <w:bookmarkStart w:id="45" w:name="_Toc17976"/>
      <w:r>
        <w:rPr>
          <w:rFonts w:hint="eastAsia"/>
        </w:rPr>
        <w:t>1.2.4效果。权重</w:t>
      </w:r>
      <w:r>
        <w:rPr>
          <w:rFonts w:hint="eastAsia"/>
          <w:lang w:val="en-US" w:eastAsia="zh-CN"/>
        </w:rPr>
        <w:t>20</w:t>
      </w:r>
      <w:r>
        <w:rPr>
          <w:rFonts w:hint="eastAsia"/>
        </w:rPr>
        <w:t>分，得分</w:t>
      </w:r>
      <w:r>
        <w:rPr>
          <w:rFonts w:hint="eastAsia"/>
          <w:lang w:val="en-US" w:eastAsia="zh-CN"/>
        </w:rPr>
        <w:t>20</w:t>
      </w:r>
      <w:r>
        <w:rPr>
          <w:rFonts w:hint="eastAsia"/>
        </w:rPr>
        <w:t>分</w:t>
      </w:r>
      <w:bookmarkEnd w:id="43"/>
      <w:r>
        <w:rPr>
          <w:rFonts w:hint="eastAsia"/>
        </w:rPr>
        <w:t>，</w:t>
      </w:r>
      <w:bookmarkEnd w:id="44"/>
      <w:r>
        <w:rPr>
          <w:rFonts w:hint="eastAsia"/>
          <w:lang w:val="en-US" w:eastAsia="zh-CN"/>
        </w:rPr>
        <w:t>未扣分</w:t>
      </w:r>
      <w:bookmarkEnd w:id="4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highlight w:val="none"/>
        </w:rPr>
      </w:pPr>
      <w:r>
        <w:rPr>
          <w:rFonts w:hint="eastAsia" w:ascii="仿宋" w:hAnsi="仿宋" w:eastAsia="仿宋" w:cs="仿宋"/>
          <w:sz w:val="32"/>
          <w:szCs w:val="32"/>
          <w:highlight w:val="none"/>
          <w:lang w:val="en-US" w:eastAsia="zh-CN"/>
        </w:rPr>
        <w:t>市场监督管理局食品药品检测</w:t>
      </w:r>
      <w:r>
        <w:rPr>
          <w:rFonts w:hint="eastAsia" w:ascii="仿宋" w:hAnsi="仿宋" w:eastAsia="仿宋" w:cs="仿宋"/>
          <w:sz w:val="32"/>
          <w:szCs w:val="32"/>
          <w:highlight w:val="none"/>
        </w:rPr>
        <w:t>项</w:t>
      </w:r>
      <w:r>
        <w:rPr>
          <w:rFonts w:hint="eastAsia" w:ascii="仿宋" w:hAnsi="仿宋" w:eastAsia="仿宋" w:cs="仿宋"/>
          <w:sz w:val="32"/>
          <w:szCs w:val="32"/>
          <w:highlight w:val="none"/>
          <w:lang w:val="en-US" w:eastAsia="zh-CN"/>
        </w:rPr>
        <w:t>质量能够提升全县企业产品质量、整合资源，能够提升全县检验检测水平及能力，大力推进质量建设工作，社会效益达到预期，调查对象对本项目满意度较高</w:t>
      </w:r>
      <w:r>
        <w:rPr>
          <w:rFonts w:hint="eastAsia" w:ascii="仿宋" w:hAnsi="仿宋" w:eastAsia="仿宋" w:cs="仿宋"/>
          <w:szCs w:val="32"/>
          <w:highlight w:val="none"/>
        </w:rPr>
        <w:t>。</w:t>
      </w:r>
    </w:p>
    <w:p>
      <w:pPr>
        <w:pStyle w:val="4"/>
        <w:keepNext/>
        <w:keepLines/>
        <w:pageBreakBefore w:val="0"/>
        <w:widowControl w:val="0"/>
        <w:kinsoku/>
        <w:wordWrap/>
        <w:overflowPunct/>
        <w:topLinePunct w:val="0"/>
        <w:autoSpaceDE/>
        <w:autoSpaceDN/>
        <w:bidi w:val="0"/>
        <w:adjustRightInd/>
        <w:snapToGrid/>
        <w:ind w:firstLine="633"/>
        <w:textAlignment w:val="auto"/>
        <w:rPr>
          <w:rFonts w:hint="eastAsia"/>
          <w:highlight w:val="none"/>
        </w:rPr>
      </w:pPr>
      <w:bookmarkStart w:id="46" w:name="_Toc40281670"/>
      <w:bookmarkStart w:id="47" w:name="_Toc9887"/>
      <w:bookmarkStart w:id="48" w:name="_Toc13382"/>
      <w:bookmarkStart w:id="49" w:name="_Toc13380"/>
      <w:r>
        <w:rPr>
          <w:rFonts w:hint="eastAsia"/>
          <w:highlight w:val="none"/>
        </w:rPr>
        <w:t>1.3存在的问题</w:t>
      </w:r>
      <w:bookmarkEnd w:id="46"/>
      <w:r>
        <w:rPr>
          <w:rFonts w:hint="eastAsia"/>
          <w:highlight w:val="none"/>
        </w:rPr>
        <w:t>和原因</w:t>
      </w:r>
      <w:bookmarkEnd w:id="47"/>
      <w:bookmarkEnd w:id="48"/>
      <w:bookmarkEnd w:id="49"/>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50" w:name="_Toc19495"/>
      <w:bookmarkStart w:id="51" w:name="_Toc3437"/>
      <w:bookmarkStart w:id="52" w:name="_Toc12806"/>
      <w:r>
        <w:rPr>
          <w:rFonts w:hint="eastAsia"/>
        </w:rPr>
        <w:t>1.3.1以前年度结果应用的情况</w:t>
      </w:r>
      <w:bookmarkEnd w:id="50"/>
      <w:bookmarkEnd w:id="51"/>
      <w:bookmarkEnd w:id="52"/>
    </w:p>
    <w:p>
      <w:pPr>
        <w:spacing w:line="560" w:lineRule="exact"/>
        <w:ind w:firstLine="640" w:firstLineChars="200"/>
        <w:rPr>
          <w:rFonts w:hint="eastAsia" w:ascii="仿宋_GB2312" w:hAnsi="仿宋_GB2312" w:eastAsia="仿宋_GB2312" w:cs="仿宋_GB2312"/>
          <w:highlight w:val="none"/>
        </w:rPr>
      </w:pPr>
      <w:r>
        <w:rPr>
          <w:rFonts w:hint="eastAsia" w:ascii="仿宋" w:hAnsi="仿宋" w:eastAsia="仿宋" w:cs="仿宋"/>
          <w:highlight w:val="none"/>
          <w:lang w:val="en-US" w:eastAsia="zh-CN"/>
        </w:rPr>
        <w:t>本次绩效评价工作中，评价小组未能获得市场监督管理局以前年度绩效评价结果的应用情况相关资料，视同以前年度绩效评价结果未有效应用</w:t>
      </w:r>
      <w:r>
        <w:rPr>
          <w:rFonts w:hint="eastAsia" w:ascii="仿宋" w:hAnsi="仿宋" w:eastAsia="仿宋" w:cs="仿宋"/>
          <w:highlight w:val="none"/>
        </w:rPr>
        <w:t>。</w:t>
      </w:r>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53" w:name="_Toc9057"/>
      <w:bookmarkStart w:id="54" w:name="_Toc32169"/>
      <w:bookmarkStart w:id="55" w:name="_Toc30977"/>
      <w:r>
        <w:rPr>
          <w:rFonts w:hint="eastAsia"/>
        </w:rPr>
        <w:t>1.3.2本年度绩效管理存在的问题和原因</w:t>
      </w:r>
      <w:bookmarkEnd w:id="53"/>
      <w:bookmarkEnd w:id="54"/>
      <w:bookmarkEnd w:id="5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Cs w:val="32"/>
          <w:highlight w:val="none"/>
          <w:lang w:val="en-US"/>
        </w:rPr>
      </w:pPr>
      <w:bookmarkStart w:id="56" w:name="_Toc32306"/>
      <w:r>
        <w:rPr>
          <w:rFonts w:hint="eastAsia" w:ascii="仿宋" w:hAnsi="仿宋" w:eastAsia="仿宋" w:cs="仿宋"/>
          <w:b w:val="0"/>
          <w:bCs w:val="0"/>
          <w:szCs w:val="32"/>
          <w:highlight w:val="none"/>
        </w:rPr>
        <w:t>1.3.2.1指标设置</w:t>
      </w:r>
      <w:bookmarkEnd w:id="56"/>
      <w:r>
        <w:rPr>
          <w:rFonts w:hint="eastAsia" w:ascii="仿宋" w:hAnsi="仿宋" w:eastAsia="仿宋" w:cs="仿宋"/>
          <w:b w:val="0"/>
          <w:bCs w:val="0"/>
          <w:szCs w:val="32"/>
          <w:highlight w:val="none"/>
          <w:lang w:val="en-US" w:eastAsia="zh-CN"/>
        </w:rPr>
        <w:t>不够</w:t>
      </w:r>
      <w:r>
        <w:rPr>
          <w:rFonts w:hint="eastAsia" w:ascii="仿宋" w:hAnsi="仿宋" w:eastAsia="仿宋" w:cs="仿宋"/>
          <w:b w:val="0"/>
          <w:bCs w:val="0"/>
          <w:sz w:val="32"/>
          <w:szCs w:val="32"/>
          <w:highlight w:val="none"/>
          <w:lang w:val="en-US" w:eastAsia="zh-CN"/>
        </w:rPr>
        <w:t>清晰、细化，可衡量性不高</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eastAsia="仿宋"/>
          <w:sz w:val="32"/>
          <w:szCs w:val="32"/>
          <w:highlight w:val="none"/>
          <w:lang w:val="en-US" w:eastAsia="zh-CN"/>
        </w:rPr>
      </w:pPr>
      <w:r>
        <w:rPr>
          <w:rFonts w:hint="eastAsia" w:ascii="仿宋" w:hAnsi="仿宋" w:eastAsia="仿宋" w:cs="仿宋"/>
          <w:sz w:val="32"/>
          <w:szCs w:val="32"/>
          <w:highlight w:val="none"/>
        </w:rPr>
        <w:t>通城县</w:t>
      </w:r>
      <w:r>
        <w:rPr>
          <w:rFonts w:hint="eastAsia" w:ascii="仿宋" w:hAnsi="仿宋" w:eastAsia="仿宋" w:cs="仿宋"/>
          <w:sz w:val="32"/>
          <w:szCs w:val="32"/>
          <w:highlight w:val="none"/>
          <w:lang w:val="en-US" w:eastAsia="zh-CN"/>
        </w:rPr>
        <w:t>市场监督管理局食品药品检测</w:t>
      </w:r>
      <w:r>
        <w:rPr>
          <w:rFonts w:hint="eastAsia" w:ascii="仿宋" w:hAnsi="仿宋" w:eastAsia="仿宋" w:cs="仿宋"/>
          <w:sz w:val="32"/>
          <w:szCs w:val="32"/>
          <w:highlight w:val="none"/>
        </w:rPr>
        <w:t>项目绩效指标可衡量</w:t>
      </w:r>
      <w:r>
        <w:rPr>
          <w:rFonts w:hint="eastAsia" w:ascii="仿宋" w:hAnsi="仿宋" w:eastAsia="仿宋" w:cs="仿宋"/>
          <w:sz w:val="32"/>
          <w:szCs w:val="32"/>
          <w:highlight w:val="none"/>
          <w:lang w:val="en-US" w:eastAsia="zh-CN"/>
        </w:rPr>
        <w:t>性</w:t>
      </w:r>
      <w:r>
        <w:rPr>
          <w:rFonts w:hint="eastAsia" w:ascii="仿宋" w:hAnsi="仿宋" w:eastAsia="仿宋" w:cs="仿宋"/>
          <w:sz w:val="32"/>
          <w:szCs w:val="32"/>
          <w:highlight w:val="none"/>
        </w:rPr>
        <w:t>不足，</w:t>
      </w:r>
      <w:r>
        <w:rPr>
          <w:rFonts w:hint="eastAsia" w:ascii="仿宋" w:hAnsi="仿宋" w:eastAsia="仿宋" w:cs="仿宋"/>
          <w:sz w:val="32"/>
          <w:szCs w:val="32"/>
          <w:highlight w:val="none"/>
          <w:lang w:val="en-US" w:eastAsia="zh-CN"/>
        </w:rPr>
        <w:t>如：产出指标中产出质量“出具产品检测报告内容披露明细程度”；效益指标中社会效益“提升全县企业产品质量整合资源与提升全县检验检测水平及能力，大力推进质量建设工作”未通过定量指标值予以体现。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b w:val="0"/>
          <w:bCs w:val="0"/>
          <w:szCs w:val="32"/>
          <w:highlight w:val="none"/>
          <w:lang w:val="en-US" w:eastAsia="zh-CN"/>
        </w:rPr>
      </w:pPr>
      <w:r>
        <w:rPr>
          <w:rFonts w:hint="eastAsia" w:ascii="仿宋" w:hAnsi="仿宋" w:eastAsia="仿宋" w:cs="仿宋"/>
          <w:b w:val="0"/>
          <w:bCs w:val="0"/>
          <w:szCs w:val="32"/>
          <w:highlight w:val="none"/>
          <w:lang w:val="en-US" w:eastAsia="zh-CN"/>
        </w:rPr>
        <w:t>1.3.2.2绩效目标完成度和时效性不足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kern w:val="0"/>
          <w:sz w:val="32"/>
          <w:szCs w:val="32"/>
          <w:highlight w:val="none"/>
          <w:lang w:val="en-US" w:eastAsia="zh-CN" w:bidi="ar-SA"/>
        </w:rPr>
      </w:pPr>
      <w:r>
        <w:rPr>
          <w:rFonts w:hint="eastAsia" w:ascii="仿宋" w:hAnsi="仿宋" w:eastAsia="仿宋" w:cs="仿宋"/>
          <w:color w:val="000000"/>
          <w:kern w:val="0"/>
          <w:sz w:val="32"/>
          <w:szCs w:val="32"/>
          <w:highlight w:val="none"/>
          <w:lang w:val="en-US" w:eastAsia="zh-CN" w:bidi="ar-SA"/>
        </w:rPr>
        <w:t>根据现场核查食品抽检信息公开1,586个，工业产品抽检信息公开115个，合计抽检信息公开1,701个，该项目实际抽检1,990个，抽检信息公开率为85.48%，未达到100%。</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 w:hAnsi="仿宋" w:eastAsia="仿宋" w:cs="仿宋"/>
          <w:color w:val="000000"/>
          <w:kern w:val="0"/>
          <w:sz w:val="32"/>
          <w:szCs w:val="32"/>
          <w:highlight w:val="none"/>
          <w:lang w:val="en-US" w:eastAsia="zh-CN" w:bidi="ar-SA"/>
        </w:rPr>
        <w:t>通城县市场监督管理局《关于开展2022年度产品质量</w:t>
      </w:r>
      <w:r>
        <w:rPr>
          <w:rFonts w:hint="eastAsia" w:ascii="仿宋" w:hAnsi="仿宋" w:eastAsia="仿宋" w:cs="仿宋"/>
          <w:sz w:val="32"/>
          <w:szCs w:val="32"/>
          <w:highlight w:val="none"/>
          <w:lang w:val="en-US" w:eastAsia="zh-CN"/>
        </w:rPr>
        <w:t>监督抽查工作的通知》规定，柴油车尾气处理液车用尿素液（AUS32）项目检查应于2022年11月30日之前完成，实际完成时间在2022年12月8日，完成时间滞后。</w:t>
      </w:r>
    </w:p>
    <w:p>
      <w:pPr>
        <w:pStyle w:val="4"/>
        <w:keepNext/>
        <w:keepLines/>
        <w:pageBreakBefore w:val="0"/>
        <w:widowControl w:val="0"/>
        <w:kinsoku/>
        <w:wordWrap/>
        <w:overflowPunct/>
        <w:topLinePunct w:val="0"/>
        <w:autoSpaceDE/>
        <w:autoSpaceDN/>
        <w:bidi w:val="0"/>
        <w:adjustRightInd/>
        <w:snapToGrid/>
        <w:ind w:firstLine="633"/>
        <w:textAlignment w:val="auto"/>
        <w:rPr>
          <w:rFonts w:hint="eastAsia"/>
          <w:highlight w:val="none"/>
        </w:rPr>
      </w:pPr>
      <w:bookmarkStart w:id="57" w:name="_Toc7245"/>
      <w:bookmarkStart w:id="58" w:name="_Toc23422"/>
      <w:r>
        <w:rPr>
          <w:rFonts w:hint="eastAsia"/>
          <w:highlight w:val="none"/>
        </w:rPr>
        <w:t>1.4结果拟应用建议</w:t>
      </w:r>
      <w:bookmarkEnd w:id="57"/>
      <w:bookmarkEnd w:id="58"/>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59" w:name="_Toc25647"/>
      <w:bookmarkStart w:id="60" w:name="_Toc28811"/>
      <w:bookmarkStart w:id="61" w:name="_Toc25898"/>
      <w:r>
        <w:rPr>
          <w:rFonts w:hint="eastAsia"/>
        </w:rPr>
        <w:t>1.4.1进一步</w:t>
      </w:r>
      <w:r>
        <w:rPr>
          <w:rFonts w:hint="eastAsia"/>
          <w:lang w:val="en-US" w:eastAsia="zh-CN"/>
        </w:rPr>
        <w:t>加强</w:t>
      </w:r>
      <w:r>
        <w:rPr>
          <w:rFonts w:hint="eastAsia"/>
        </w:rPr>
        <w:t>绩效管理工作</w:t>
      </w:r>
      <w:bookmarkEnd w:id="59"/>
      <w:bookmarkEnd w:id="60"/>
      <w:bookmarkEnd w:id="6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Cs w:val="32"/>
          <w:highlight w:val="none"/>
        </w:rPr>
      </w:pPr>
      <w:r>
        <w:rPr>
          <w:rFonts w:hint="eastAsia" w:ascii="仿宋" w:hAnsi="仿宋" w:eastAsia="仿宋" w:cs="仿宋"/>
          <w:szCs w:val="32"/>
          <w:highlight w:val="none"/>
        </w:rPr>
        <w:t>通城县</w:t>
      </w:r>
      <w:r>
        <w:rPr>
          <w:rFonts w:hint="eastAsia" w:ascii="仿宋" w:hAnsi="仿宋" w:eastAsia="仿宋" w:cs="仿宋"/>
          <w:szCs w:val="32"/>
          <w:highlight w:val="none"/>
          <w:lang w:val="en-US" w:eastAsia="zh-CN"/>
        </w:rPr>
        <w:t>市场监督管理局</w:t>
      </w:r>
      <w:r>
        <w:rPr>
          <w:rFonts w:hint="eastAsia" w:ascii="仿宋" w:hAnsi="仿宋" w:eastAsia="仿宋" w:cs="仿宋"/>
          <w:szCs w:val="32"/>
          <w:highlight w:val="none"/>
        </w:rPr>
        <w:t>根据年度工作预期目标和预算金额，结合项目特点，科学设置绩效目标，设置完整、全面、清晰、可衡量的绩效指标。</w:t>
      </w:r>
      <w:bookmarkStart w:id="62" w:name="_Toc7365"/>
      <w:bookmarkStart w:id="63" w:name="_Toc9647"/>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default"/>
          <w:lang w:val="en-US" w:eastAsia="zh-CN"/>
        </w:rPr>
      </w:pPr>
      <w:bookmarkStart w:id="64" w:name="_Toc28269"/>
      <w:r>
        <w:rPr>
          <w:rFonts w:hint="eastAsia"/>
        </w:rPr>
        <w:t>1.4.</w:t>
      </w:r>
      <w:r>
        <w:rPr>
          <w:rFonts w:hint="eastAsia"/>
          <w:lang w:val="en-US" w:eastAsia="zh-CN"/>
        </w:rPr>
        <w:t>2及时推进项目实施</w:t>
      </w:r>
      <w:bookmarkEnd w:id="64"/>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Cs w:val="32"/>
          <w:highlight w:val="none"/>
          <w:lang w:val="en-US" w:eastAsia="zh-CN"/>
        </w:rPr>
      </w:pPr>
      <w:r>
        <w:rPr>
          <w:rFonts w:hint="eastAsia" w:ascii="仿宋" w:hAnsi="仿宋" w:eastAsia="仿宋" w:cs="仿宋"/>
          <w:szCs w:val="32"/>
          <w:highlight w:val="none"/>
          <w:lang w:val="en-US" w:eastAsia="zh-CN"/>
        </w:rPr>
        <w:t>根据项目实施存在的问题，以后年度按照设置的绩效目标，积极推动项目实施，对项目实施节点进行管控，全力保障项目实施质量和实施时效，保证项目达到预期效果。</w:t>
      </w:r>
    </w:p>
    <w:bookmarkEnd w:id="62"/>
    <w:bookmarkEnd w:id="63"/>
    <w:p>
      <w:pPr>
        <w:bidi w:val="0"/>
        <w:rPr>
          <w:rFonts w:hint="eastAsia"/>
        </w:rPr>
      </w:pPr>
      <w:bookmarkStart w:id="65" w:name="_Toc11060"/>
      <w:bookmarkStart w:id="66" w:name="_Toc3727"/>
    </w:p>
    <w:bookmarkEnd w:id="65"/>
    <w:bookmarkEnd w:id="66"/>
    <w:p>
      <w:pPr>
        <w:spacing w:line="560" w:lineRule="exact"/>
        <w:rPr>
          <w:rFonts w:hint="eastAsia" w:ascii="仿宋" w:hAnsi="仿宋" w:eastAsia="仿宋" w:cs="仿宋"/>
          <w:highlight w:val="none"/>
        </w:rPr>
      </w:pPr>
    </w:p>
    <w:p>
      <w:pPr>
        <w:spacing w:line="560" w:lineRule="exact"/>
        <w:rPr>
          <w:rFonts w:hint="eastAsia" w:ascii="仿宋" w:hAnsi="仿宋" w:eastAsia="仿宋" w:cs="仿宋"/>
          <w:highlight w:val="none"/>
        </w:rPr>
      </w:pPr>
      <w:r>
        <w:rPr>
          <w:rFonts w:hint="eastAsia" w:ascii="仿宋" w:hAnsi="仿宋" w:eastAsia="仿宋" w:cs="仿宋"/>
          <w:highlight w:val="none"/>
        </w:rPr>
        <w:t xml:space="preserve">上会会计师事务所（特殊普通合伙）    </w:t>
      </w:r>
    </w:p>
    <w:p>
      <w:pPr>
        <w:spacing w:line="560" w:lineRule="exact"/>
        <w:ind w:firstLine="1600" w:firstLineChars="500"/>
        <w:rPr>
          <w:rFonts w:hint="eastAsia" w:ascii="仿宋" w:hAnsi="仿宋" w:eastAsia="仿宋" w:cs="仿宋"/>
          <w:highlight w:val="none"/>
        </w:rPr>
      </w:pPr>
      <w:r>
        <w:rPr>
          <w:rFonts w:hint="eastAsia" w:ascii="仿宋" w:hAnsi="仿宋" w:eastAsia="仿宋" w:cs="仿宋"/>
          <w:highlight w:val="none"/>
        </w:rPr>
        <w:t>湖北分所</w:t>
      </w:r>
    </w:p>
    <w:p>
      <w:pPr>
        <w:spacing w:line="560" w:lineRule="exact"/>
        <w:rPr>
          <w:rFonts w:hint="eastAsia" w:ascii="仿宋_GB2312" w:hAnsi="仿宋_GB2312" w:eastAsia="仿宋_GB2312" w:cs="仿宋_GB2312"/>
        </w:rPr>
      </w:pPr>
      <w:r>
        <w:rPr>
          <w:rFonts w:hint="eastAsia" w:ascii="仿宋_GB2312" w:hAnsi="仿宋_GB2312" w:eastAsia="仿宋_GB2312" w:cs="仿宋_GB2312"/>
        </w:rPr>
        <w:t>                                                                           </w:t>
      </w:r>
    </w:p>
    <w:p>
      <w:pPr>
        <w:spacing w:line="560" w:lineRule="exact"/>
        <w:ind w:firstLine="1600" w:firstLineChars="500"/>
        <w:rPr>
          <w:rFonts w:hint="eastAsia" w:ascii="仿宋_GB2312" w:hAnsi="仿宋_GB2312" w:eastAsia="仿宋_GB2312" w:cs="仿宋_GB2312"/>
          <w:sz w:val="32"/>
          <w:szCs w:val="32"/>
          <w:lang w:val="en-US" w:eastAsia="zh-CN"/>
        </w:rPr>
      </w:pPr>
      <w:r>
        <w:rPr>
          <w:rFonts w:hint="eastAsia" w:ascii="仿宋" w:hAnsi="仿宋" w:eastAsia="仿宋" w:cs="仿宋"/>
        </w:rPr>
        <w:t>中国</w:t>
      </w:r>
      <w:r>
        <w:rPr>
          <w:rFonts w:hint="eastAsia" w:ascii="仿宋" w:hAnsi="仿宋" w:eastAsia="仿宋" w:cs="仿宋"/>
          <w:lang w:val="en-US" w:eastAsia="zh-CN"/>
        </w:rPr>
        <w:t xml:space="preserve">  </w:t>
      </w:r>
      <w:r>
        <w:rPr>
          <w:rFonts w:hint="eastAsia" w:ascii="仿宋" w:hAnsi="仿宋" w:eastAsia="仿宋" w:cs="仿宋"/>
        </w:rPr>
        <w:t>湖北</w:t>
      </w:r>
      <w:r>
        <w:rPr>
          <w:rFonts w:hint="eastAsia" w:ascii="仿宋_GB2312" w:hAnsi="仿宋_GB2312" w:eastAsia="仿宋_GB2312" w:cs="仿宋_GB2312"/>
        </w:rPr>
        <w:t xml:space="preserve">        </w:t>
      </w:r>
      <w:r>
        <w:rPr>
          <w:rFonts w:hint="eastAsia" w:ascii="仿宋_GB2312" w:hAnsi="仿宋_GB2312" w:eastAsia="仿宋_GB2312" w:cs="仿宋_GB2312"/>
          <w:highlight w:val="none"/>
        </w:rPr>
        <w:t xml:space="preserve">   </w:t>
      </w:r>
      <w:r>
        <w:rPr>
          <w:rFonts w:hint="eastAsia" w:ascii="仿宋" w:hAnsi="仿宋" w:eastAsia="仿宋" w:cs="仿宋"/>
          <w:highlight w:val="none"/>
        </w:rPr>
        <w:t>二〇二</w:t>
      </w:r>
      <w:r>
        <w:rPr>
          <w:rFonts w:hint="eastAsia" w:ascii="仿宋" w:hAnsi="仿宋" w:eastAsia="仿宋" w:cs="仿宋"/>
          <w:highlight w:val="none"/>
          <w:lang w:val="en-US" w:eastAsia="zh-CN"/>
        </w:rPr>
        <w:t>三</w:t>
      </w:r>
      <w:r>
        <w:rPr>
          <w:rFonts w:hint="eastAsia" w:ascii="仿宋" w:hAnsi="仿宋" w:eastAsia="仿宋" w:cs="仿宋"/>
          <w:highlight w:val="none"/>
        </w:rPr>
        <w:t>年</w:t>
      </w:r>
      <w:r>
        <w:rPr>
          <w:rFonts w:hint="eastAsia" w:ascii="仿宋" w:hAnsi="仿宋" w:eastAsia="仿宋" w:cs="仿宋"/>
          <w:highlight w:val="none"/>
          <w:lang w:val="en-US" w:eastAsia="zh-CN"/>
        </w:rPr>
        <w:t>九</w:t>
      </w:r>
      <w:r>
        <w:rPr>
          <w:rFonts w:hint="eastAsia" w:ascii="仿宋" w:hAnsi="仿宋" w:eastAsia="仿宋" w:cs="仿宋"/>
          <w:highlight w:val="none"/>
        </w:rPr>
        <w:t>月</w:t>
      </w:r>
      <w:r>
        <w:rPr>
          <w:rFonts w:hint="eastAsia" w:ascii="仿宋" w:hAnsi="仿宋" w:eastAsia="仿宋" w:cs="仿宋"/>
          <w:highlight w:val="none"/>
          <w:lang w:val="en-US" w:eastAsia="zh-CN"/>
        </w:rPr>
        <w:t>二十八</w:t>
      </w:r>
      <w:r>
        <w:rPr>
          <w:rFonts w:hint="eastAsia" w:ascii="仿宋" w:hAnsi="仿宋" w:eastAsia="仿宋" w:cs="仿宋"/>
          <w:highlight w:val="none"/>
        </w:rPr>
        <w:t>日</w:t>
      </w:r>
    </w:p>
    <w:sectPr>
      <w:headerReference r:id="rId3" w:type="default"/>
      <w:footerReference r:id="rId4" w:type="default"/>
      <w:pgSz w:w="11906" w:h="16838"/>
      <w:pgMar w:top="2098" w:right="1474" w:bottom="1984" w:left="1587" w:header="851" w:footer="992" w:gutter="0"/>
      <w:pgNumType w:fmt="decimal" w:start="1"/>
      <w:cols w:space="0" w:num="1"/>
      <w:rtlGutter w:val="0"/>
      <w:docGrid w:type="lines" w:linePitch="4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1" w:fontKey="{6C2D2695-D658-4EDA-8FB4-B2D8CAAE19E4}"/>
  </w:font>
  <w:font w:name="楷体">
    <w:panose1 w:val="02010609060101010101"/>
    <w:charset w:val="86"/>
    <w:family w:val="modern"/>
    <w:pitch w:val="default"/>
    <w:sig w:usb0="800002BF" w:usb1="38CF7CFA" w:usb2="00000016" w:usb3="00000000" w:csb0="00040001" w:csb1="00000000"/>
    <w:embedRegular r:id="rId2" w:fontKey="{7D3F2620-A81B-4463-BC8D-B4B669BD22F3}"/>
  </w:font>
  <w:font w:name="仿宋">
    <w:panose1 w:val="02010609060101010101"/>
    <w:charset w:val="86"/>
    <w:family w:val="modern"/>
    <w:pitch w:val="default"/>
    <w:sig w:usb0="800002BF" w:usb1="38CF7CFA" w:usb2="00000016" w:usb3="00000000" w:csb0="00040001" w:csb1="00000000"/>
    <w:embedRegular r:id="rId3" w:fontKey="{6A08C06C-CA22-445E-B4BC-1EE78477DBF2}"/>
  </w:font>
  <w:font w:name="方正小标宋_GBK">
    <w:panose1 w:val="02000000000000000000"/>
    <w:charset w:val="86"/>
    <w:family w:val="auto"/>
    <w:pitch w:val="default"/>
    <w:sig w:usb0="00000001" w:usb1="080E0000" w:usb2="00000000" w:usb3="00000000" w:csb0="00040000" w:csb1="00000000"/>
    <w:embedRegular r:id="rId4" w:fontKey="{3C770254-E1C9-4775-A9E9-E0E14CA585DF}"/>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- 4 -</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- 4 -</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rFonts w:hint="eastAsia"/>
      </w:rPr>
      <w:drawing>
        <wp:anchor distT="0" distB="0" distL="114300" distR="114300" simplePos="0" relativeHeight="251660288" behindDoc="0" locked="0" layoutInCell="1" allowOverlap="1">
          <wp:simplePos x="0" y="0"/>
          <wp:positionH relativeFrom="column">
            <wp:posOffset>-283210</wp:posOffset>
          </wp:positionH>
          <wp:positionV relativeFrom="paragraph">
            <wp:posOffset>-156845</wp:posOffset>
          </wp:positionV>
          <wp:extent cx="6000750" cy="955040"/>
          <wp:effectExtent l="0" t="0" r="6350" b="10160"/>
          <wp:wrapNone/>
          <wp:docPr id="6" name="图片 3"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图片1"/>
                  <pic:cNvPicPr>
                    <a:picLocks noChangeAspect="1"/>
                  </pic:cNvPicPr>
                </pic:nvPicPr>
                <pic:blipFill>
                  <a:blip r:embed="rId1"/>
                  <a:stretch>
                    <a:fillRect/>
                  </a:stretch>
                </pic:blipFill>
                <pic:spPr>
                  <a:xfrm>
                    <a:off x="0" y="0"/>
                    <a:ext cx="6000750" cy="95504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220"/>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wOWE5NDYwNDlhNTk4MWU0ZmQzZjllOWMyZjUwOWMifQ=="/>
  </w:docVars>
  <w:rsids>
    <w:rsidRoot w:val="7F173BFB"/>
    <w:rsid w:val="0018099E"/>
    <w:rsid w:val="003357D8"/>
    <w:rsid w:val="0079105E"/>
    <w:rsid w:val="018D0F17"/>
    <w:rsid w:val="024912E2"/>
    <w:rsid w:val="02497534"/>
    <w:rsid w:val="03C50E3C"/>
    <w:rsid w:val="05FB42B1"/>
    <w:rsid w:val="0B156206"/>
    <w:rsid w:val="0C727688"/>
    <w:rsid w:val="0CF60376"/>
    <w:rsid w:val="0DE46363"/>
    <w:rsid w:val="0FD372BA"/>
    <w:rsid w:val="11651569"/>
    <w:rsid w:val="11660672"/>
    <w:rsid w:val="160457F4"/>
    <w:rsid w:val="18BD1C8B"/>
    <w:rsid w:val="1A756F52"/>
    <w:rsid w:val="1B5E69D5"/>
    <w:rsid w:val="1B7C407F"/>
    <w:rsid w:val="1C8925AF"/>
    <w:rsid w:val="1DC53ABB"/>
    <w:rsid w:val="1E663172"/>
    <w:rsid w:val="1E9108AA"/>
    <w:rsid w:val="1FC678F4"/>
    <w:rsid w:val="21336F8E"/>
    <w:rsid w:val="217952E8"/>
    <w:rsid w:val="224A0A33"/>
    <w:rsid w:val="22916662"/>
    <w:rsid w:val="22B3482A"/>
    <w:rsid w:val="23E97DD8"/>
    <w:rsid w:val="23FF75FB"/>
    <w:rsid w:val="2705317A"/>
    <w:rsid w:val="27E8598C"/>
    <w:rsid w:val="28304227"/>
    <w:rsid w:val="29A06C1C"/>
    <w:rsid w:val="2AD87D31"/>
    <w:rsid w:val="2B326508"/>
    <w:rsid w:val="2B45623B"/>
    <w:rsid w:val="2B8940E5"/>
    <w:rsid w:val="2BE121FF"/>
    <w:rsid w:val="2C3342E6"/>
    <w:rsid w:val="2C491D5B"/>
    <w:rsid w:val="2D4F33A1"/>
    <w:rsid w:val="2DCD42C6"/>
    <w:rsid w:val="2EB01C1E"/>
    <w:rsid w:val="2ED718A0"/>
    <w:rsid w:val="30705B08"/>
    <w:rsid w:val="31C82370"/>
    <w:rsid w:val="325A2674"/>
    <w:rsid w:val="340E50F6"/>
    <w:rsid w:val="344828F8"/>
    <w:rsid w:val="34627E5E"/>
    <w:rsid w:val="34C53F49"/>
    <w:rsid w:val="34D21838"/>
    <w:rsid w:val="35680A25"/>
    <w:rsid w:val="366A4591"/>
    <w:rsid w:val="36820344"/>
    <w:rsid w:val="368D0EC4"/>
    <w:rsid w:val="36E92171"/>
    <w:rsid w:val="392E04D8"/>
    <w:rsid w:val="39C06CA3"/>
    <w:rsid w:val="3A0B4AF4"/>
    <w:rsid w:val="3A7E52C6"/>
    <w:rsid w:val="3C1E0B0E"/>
    <w:rsid w:val="3C943502"/>
    <w:rsid w:val="3D0D796C"/>
    <w:rsid w:val="3DA9265A"/>
    <w:rsid w:val="3E027FBC"/>
    <w:rsid w:val="3F964E60"/>
    <w:rsid w:val="4050500F"/>
    <w:rsid w:val="41AF4FE0"/>
    <w:rsid w:val="42750D5C"/>
    <w:rsid w:val="42756FAE"/>
    <w:rsid w:val="446C618F"/>
    <w:rsid w:val="44D04970"/>
    <w:rsid w:val="456A4DC4"/>
    <w:rsid w:val="456F5F37"/>
    <w:rsid w:val="476E0D9F"/>
    <w:rsid w:val="47AD011C"/>
    <w:rsid w:val="47FC782A"/>
    <w:rsid w:val="48795512"/>
    <w:rsid w:val="494616A5"/>
    <w:rsid w:val="4B8169C4"/>
    <w:rsid w:val="4D811942"/>
    <w:rsid w:val="4E17716C"/>
    <w:rsid w:val="50724B2D"/>
    <w:rsid w:val="50D94BAC"/>
    <w:rsid w:val="526D2B3F"/>
    <w:rsid w:val="53083527"/>
    <w:rsid w:val="537A46AB"/>
    <w:rsid w:val="53A8110D"/>
    <w:rsid w:val="543A32C1"/>
    <w:rsid w:val="54972DB4"/>
    <w:rsid w:val="551C150B"/>
    <w:rsid w:val="560B3A5A"/>
    <w:rsid w:val="57C00874"/>
    <w:rsid w:val="57C54DFF"/>
    <w:rsid w:val="57F30C49"/>
    <w:rsid w:val="5915699E"/>
    <w:rsid w:val="594B23BF"/>
    <w:rsid w:val="5B4F4286"/>
    <w:rsid w:val="5C317F92"/>
    <w:rsid w:val="5F555D46"/>
    <w:rsid w:val="623A1223"/>
    <w:rsid w:val="648502B4"/>
    <w:rsid w:val="64992B79"/>
    <w:rsid w:val="64F81356"/>
    <w:rsid w:val="66664CDC"/>
    <w:rsid w:val="66A15F51"/>
    <w:rsid w:val="67737EE0"/>
    <w:rsid w:val="683B5167"/>
    <w:rsid w:val="6872770C"/>
    <w:rsid w:val="6C4C227F"/>
    <w:rsid w:val="6CE1330F"/>
    <w:rsid w:val="6D0B213A"/>
    <w:rsid w:val="6D98755A"/>
    <w:rsid w:val="6DB225B5"/>
    <w:rsid w:val="6E2B394C"/>
    <w:rsid w:val="6F2A4AF9"/>
    <w:rsid w:val="710F044A"/>
    <w:rsid w:val="71BE6D71"/>
    <w:rsid w:val="72D03C09"/>
    <w:rsid w:val="73AB1F81"/>
    <w:rsid w:val="755268B0"/>
    <w:rsid w:val="76487F5B"/>
    <w:rsid w:val="76897925"/>
    <w:rsid w:val="76DB492B"/>
    <w:rsid w:val="77FE2FC7"/>
    <w:rsid w:val="78B473B0"/>
    <w:rsid w:val="7A4002EC"/>
    <w:rsid w:val="7AEA338E"/>
    <w:rsid w:val="7B6D1D92"/>
    <w:rsid w:val="7C9A0DE4"/>
    <w:rsid w:val="7D494CE4"/>
    <w:rsid w:val="7DE71D15"/>
    <w:rsid w:val="7F173BFB"/>
    <w:rsid w:val="7F3217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2"/>
      <w:lang w:val="en-US" w:eastAsia="zh-CN" w:bidi="ar-SA"/>
    </w:rPr>
  </w:style>
  <w:style w:type="paragraph" w:styleId="3">
    <w:name w:val="heading 1"/>
    <w:basedOn w:val="1"/>
    <w:next w:val="1"/>
    <w:qFormat/>
    <w:uiPriority w:val="9"/>
    <w:pPr>
      <w:keepNext/>
      <w:keepLines/>
      <w:spacing w:line="560" w:lineRule="exact"/>
      <w:ind w:firstLine="872" w:firstLineChars="200"/>
      <w:outlineLvl w:val="0"/>
    </w:pPr>
    <w:rPr>
      <w:rFonts w:ascii="黑体" w:hAnsi="黑体" w:eastAsia="黑体"/>
      <w:b/>
      <w:bCs/>
      <w:kern w:val="44"/>
      <w:szCs w:val="44"/>
    </w:rPr>
  </w:style>
  <w:style w:type="paragraph" w:styleId="4">
    <w:name w:val="heading 2"/>
    <w:basedOn w:val="1"/>
    <w:next w:val="1"/>
    <w:qFormat/>
    <w:uiPriority w:val="9"/>
    <w:pPr>
      <w:keepNext/>
      <w:keepLines/>
      <w:spacing w:line="560" w:lineRule="exact"/>
      <w:ind w:firstLine="200" w:firstLineChars="200"/>
      <w:jc w:val="left"/>
      <w:outlineLvl w:val="1"/>
    </w:pPr>
    <w:rPr>
      <w:rFonts w:ascii="楷体" w:hAnsi="楷体" w:eastAsia="楷体"/>
      <w:b/>
      <w:bCs/>
      <w:kern w:val="0"/>
      <w:szCs w:val="32"/>
    </w:rPr>
  </w:style>
  <w:style w:type="paragraph" w:styleId="5">
    <w:name w:val="heading 3"/>
    <w:basedOn w:val="1"/>
    <w:next w:val="1"/>
    <w:qFormat/>
    <w:uiPriority w:val="9"/>
    <w:pPr>
      <w:keepNext/>
      <w:keepLines/>
      <w:spacing w:line="560" w:lineRule="exact"/>
      <w:ind w:firstLine="200" w:firstLineChars="200"/>
      <w:jc w:val="left"/>
      <w:outlineLvl w:val="2"/>
    </w:pPr>
    <w:rPr>
      <w:rFonts w:ascii="楷体" w:hAnsi="楷体" w:eastAsia="楷体"/>
      <w:b/>
      <w:bCs/>
      <w:kern w:val="0"/>
      <w:szCs w:val="32"/>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customStyle="1" w:styleId="2">
    <w:name w:val="Default"/>
    <w:unhideWhenUsed/>
    <w:qFormat/>
    <w:uiPriority w:val="0"/>
    <w:pPr>
      <w:widowControl w:val="0"/>
      <w:autoSpaceDE w:val="0"/>
      <w:autoSpaceDN w:val="0"/>
      <w:adjustRightInd w:val="0"/>
    </w:pPr>
    <w:rPr>
      <w:rFonts w:ascii="宋体" w:hAnsi="宋体" w:eastAsia="宋体" w:cs="Times New Roman"/>
      <w:color w:val="000000"/>
      <w:sz w:val="24"/>
      <w:szCs w:val="22"/>
      <w:lang w:val="en-US" w:eastAsia="zh-CN" w:bidi="ar-SA"/>
    </w:rPr>
  </w:style>
  <w:style w:type="paragraph" w:styleId="6">
    <w:name w:val="Normal Indent"/>
    <w:basedOn w:val="1"/>
    <w:next w:val="1"/>
    <w:qFormat/>
    <w:uiPriority w:val="0"/>
    <w:pPr>
      <w:spacing w:before="200" w:after="200"/>
    </w:pPr>
    <w:rPr>
      <w:rFonts w:ascii="Times New Roman" w:hAnsi="Times New Roman" w:eastAsia="仿宋_GB2312"/>
      <w:color w:val="000000"/>
      <w:kern w:val="0"/>
      <w:sz w:val="28"/>
      <w:szCs w:val="32"/>
      <w:lang w:bidi="en-US"/>
    </w:rPr>
  </w:style>
  <w:style w:type="paragraph" w:styleId="7">
    <w:name w:val="annotation text"/>
    <w:basedOn w:val="1"/>
    <w:qFormat/>
    <w:uiPriority w:val="0"/>
    <w:pPr>
      <w:jc w:val="left"/>
    </w:pPr>
  </w:style>
  <w:style w:type="paragraph" w:styleId="8">
    <w:name w:val="Body Text"/>
    <w:basedOn w:val="1"/>
    <w:qFormat/>
    <w:uiPriority w:val="0"/>
    <w:pPr>
      <w:spacing w:after="120"/>
    </w:pPr>
    <w:rPr>
      <w:rFonts w:ascii="Times New Roman"/>
    </w:rPr>
  </w:style>
  <w:style w:type="paragraph" w:styleId="9">
    <w:name w:val="toc 3"/>
    <w:basedOn w:val="1"/>
    <w:next w:val="1"/>
    <w:qFormat/>
    <w:uiPriority w:val="0"/>
    <w:pPr>
      <w:ind w:left="840" w:leftChars="4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paragraph" w:customStyle="1" w:styleId="16">
    <w:name w:val="WPSOffice手动目录 1"/>
    <w:qFormat/>
    <w:uiPriority w:val="0"/>
    <w:pPr>
      <w:ind w:leftChars="0"/>
    </w:pPr>
    <w:rPr>
      <w:rFonts w:ascii="Times New Roman" w:hAnsi="Times New Roman" w:eastAsia="宋体" w:cs="Times New Roman"/>
      <w:sz w:val="20"/>
      <w:szCs w:val="20"/>
    </w:rPr>
  </w:style>
  <w:style w:type="paragraph" w:customStyle="1" w:styleId="17">
    <w:name w:val="WPSOffice手动目录 2"/>
    <w:qFormat/>
    <w:uiPriority w:val="0"/>
    <w:pPr>
      <w:ind w:leftChars="200"/>
    </w:pPr>
    <w:rPr>
      <w:rFonts w:ascii="Times New Roman" w:hAnsi="Times New Roman" w:eastAsia="宋体" w:cs="Times New Roman"/>
      <w:sz w:val="20"/>
      <w:szCs w:val="20"/>
    </w:rPr>
  </w:style>
  <w:style w:type="character" w:customStyle="1" w:styleId="18">
    <w:name w:val="font11"/>
    <w:basedOn w:val="15"/>
    <w:qFormat/>
    <w:uiPriority w:val="0"/>
    <w:rPr>
      <w:rFonts w:hint="eastAsia" w:ascii="仿宋" w:hAnsi="仿宋" w:eastAsia="仿宋" w:cs="仿宋"/>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6162</Words>
  <Characters>7154</Characters>
  <Lines>0</Lines>
  <Paragraphs>0</Paragraphs>
  <TotalTime>0</TotalTime>
  <ScaleCrop>false</ScaleCrop>
  <LinksUpToDate>false</LinksUpToDate>
  <CharactersWithSpaces>7625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2023-08-14T02:08:00Z</dcterms:created>
  <dc:creator>微笑</dc:creator>
  <cp:lastModifiedBy>梅竹</cp:lastModifiedBy>
  <dcterms:modified xsi:type="dcterms:W3CDTF">2023-09-28T06:29:19Z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F0E2CCB5898543608AAAF37E08F2F404_13</vt:lpwstr>
  </property>
</Properties>
</file>