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eastAsia="zh-CN"/>
        </w:rPr>
      </w:pPr>
      <w:bookmarkStart w:id="0" w:name="_Toc18922"/>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eastAsia="zh-CN"/>
        </w:rPr>
      </w:pPr>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lang w:val="en-US"/>
        </w:rPr>
      </w:pPr>
      <w:r>
        <w:rPr>
          <w:rFonts w:hint="eastAsia" w:ascii="方正小标宋_GBK" w:hAnsi="方正小标宋_GBK" w:eastAsia="方正小标宋_GBK" w:cs="方正小标宋_GBK"/>
          <w:b/>
          <w:bCs/>
          <w:sz w:val="36"/>
          <w:szCs w:val="36"/>
          <w:lang w:val="en-US" w:eastAsia="zh-CN"/>
        </w:rPr>
        <w:t>2022年</w:t>
      </w:r>
      <w:bookmarkEnd w:id="0"/>
      <w:r>
        <w:rPr>
          <w:rFonts w:hint="eastAsia" w:ascii="方正小标宋_GBK" w:hAnsi="方正小标宋_GBK" w:eastAsia="方正小标宋_GBK" w:cs="方正小标宋_GBK"/>
          <w:b/>
          <w:bCs/>
          <w:sz w:val="36"/>
          <w:szCs w:val="36"/>
          <w:lang w:val="en-US" w:eastAsia="zh-CN"/>
        </w:rPr>
        <w:t>食品药品检测项目</w:t>
      </w:r>
    </w:p>
    <w:p>
      <w:pPr>
        <w:keepNext w:val="0"/>
        <w:keepLines w:val="0"/>
        <w:pageBreakBefore w:val="0"/>
        <w:widowControl/>
        <w:kinsoku/>
        <w:wordWrap/>
        <w:overflowPunct/>
        <w:topLinePunct w:val="0"/>
        <w:autoSpaceDE/>
        <w:autoSpaceDN/>
        <w:bidi w:val="0"/>
        <w:adjustRightInd/>
        <w:snapToGrid/>
        <w:jc w:val="center"/>
        <w:textAlignment w:val="auto"/>
        <w:rPr>
          <w:rFonts w:hint="eastAsia" w:ascii="方正小标宋_GBK" w:hAnsi="方正小标宋_GBK" w:eastAsia="方正小标宋_GBK" w:cs="方正小标宋_GBK"/>
          <w:b/>
          <w:bCs/>
          <w:sz w:val="36"/>
          <w:szCs w:val="36"/>
        </w:rPr>
      </w:pPr>
      <w:bookmarkStart w:id="1" w:name="_Toc10661"/>
      <w:bookmarkStart w:id="2" w:name="_Toc10766"/>
      <w:bookmarkStart w:id="3" w:name="_Toc24495"/>
      <w:bookmarkStart w:id="4" w:name="_Toc19247"/>
      <w:r>
        <w:rPr>
          <w:rFonts w:hint="eastAsia" w:ascii="方正小标宋_GBK" w:hAnsi="方正小标宋_GBK" w:eastAsia="方正小标宋_GBK" w:cs="方正小标宋_GBK"/>
          <w:b/>
          <w:bCs/>
          <w:sz w:val="36"/>
          <w:szCs w:val="36"/>
        </w:rPr>
        <w:t>绩效评价报告</w:t>
      </w:r>
      <w:bookmarkEnd w:id="1"/>
      <w:bookmarkEnd w:id="2"/>
      <w:bookmarkEnd w:id="3"/>
      <w:bookmarkEnd w:id="4"/>
    </w:p>
    <w:p>
      <w:pPr>
        <w:spacing w:line="300" w:lineRule="auto"/>
        <w:jc w:val="center"/>
        <w:outlineLvl w:val="9"/>
        <w:rPr>
          <w:rFonts w:hint="eastAsia" w:ascii="仿宋" w:hAnsi="仿宋" w:eastAsia="仿宋" w:cs="仿宋"/>
          <w:b/>
          <w:bCs w:val="0"/>
          <w:snapToGrid w:val="0"/>
          <w:kern w:val="0"/>
          <w:sz w:val="36"/>
          <w:szCs w:val="36"/>
        </w:rPr>
      </w:pPr>
      <w:bookmarkStart w:id="5" w:name="_Toc7042"/>
      <w:bookmarkStart w:id="6" w:name="_Toc3901"/>
      <w:bookmarkStart w:id="7" w:name="_Toc13184"/>
      <w:bookmarkStart w:id="8" w:name="_Toc1889"/>
      <w:r>
        <w:rPr>
          <w:rFonts w:hint="eastAsia" w:ascii="仿宋" w:hAnsi="仿宋" w:eastAsia="仿宋" w:cs="仿宋"/>
          <w:b/>
          <w:bCs w:val="0"/>
          <w:snapToGrid w:val="0"/>
          <w:kern w:val="0"/>
          <w:sz w:val="36"/>
          <w:szCs w:val="36"/>
        </w:rPr>
        <w:t>（专业版）</w:t>
      </w:r>
      <w:bookmarkEnd w:id="5"/>
      <w:bookmarkEnd w:id="6"/>
      <w:bookmarkEnd w:id="7"/>
      <w:bookmarkEnd w:id="8"/>
    </w:p>
    <w:p>
      <w:pPr>
        <w:spacing w:line="300" w:lineRule="auto"/>
        <w:jc w:val="center"/>
        <w:outlineLvl w:val="9"/>
        <w:rPr>
          <w:rFonts w:hint="eastAsia" w:ascii="仿宋" w:hAnsi="仿宋" w:eastAsia="仿宋" w:cs="仿宋"/>
          <w:b/>
          <w:bCs w:val="0"/>
          <w:sz w:val="36"/>
          <w:szCs w:val="36"/>
        </w:rPr>
      </w:pPr>
      <w:r>
        <w:rPr>
          <w:rFonts w:hint="eastAsia" w:ascii="仿宋" w:hAnsi="仿宋" w:eastAsia="仿宋" w:cs="仿宋"/>
          <w:b/>
          <w:bCs w:val="0"/>
          <w:snapToGrid w:val="0"/>
          <w:sz w:val="36"/>
          <w:szCs w:val="36"/>
        </w:rPr>
        <w:t>上会鄂报字（2023）第0259号</w:t>
      </w:r>
    </w:p>
    <w:p>
      <w:pPr>
        <w:jc w:val="center"/>
        <w:rPr>
          <w:rFonts w:hint="eastAsia" w:ascii="仿宋" w:hAnsi="仿宋" w:eastAsia="仿宋" w:cs="仿宋"/>
          <w:szCs w:val="32"/>
        </w:rPr>
      </w:pPr>
    </w:p>
    <w:p>
      <w:pPr>
        <w:jc w:val="center"/>
        <w:rPr>
          <w:rFonts w:hint="eastAsia" w:ascii="仿宋" w:hAnsi="仿宋" w:eastAsia="仿宋" w:cs="仿宋"/>
          <w:szCs w:val="32"/>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jc w:val="center"/>
        <w:rPr>
          <w:rFonts w:hint="eastAsia" w:ascii="仿宋" w:hAnsi="仿宋" w:eastAsia="仿宋" w:cs="仿宋"/>
          <w:b/>
          <w:bCs/>
          <w:sz w:val="44"/>
          <w:szCs w:val="44"/>
        </w:rPr>
      </w:pPr>
    </w:p>
    <w:p>
      <w:pPr>
        <w:pStyle w:val="8"/>
        <w:kinsoku w:val="0"/>
        <w:overflowPunct w:val="0"/>
        <w:jc w:val="center"/>
        <w:outlineLvl w:val="9"/>
        <w:rPr>
          <w:rFonts w:hint="eastAsia" w:ascii="仿宋" w:hAnsi="仿宋" w:eastAsia="仿宋" w:cs="仿宋"/>
          <w:b/>
          <w:snapToGrid w:val="0"/>
          <w:sz w:val="36"/>
          <w:szCs w:val="36"/>
        </w:rPr>
      </w:pPr>
      <w:bookmarkStart w:id="9" w:name="_Toc13568"/>
    </w:p>
    <w:p>
      <w:pPr>
        <w:pStyle w:val="8"/>
        <w:kinsoku w:val="0"/>
        <w:overflowPunct w:val="0"/>
        <w:jc w:val="center"/>
        <w:outlineLvl w:val="9"/>
        <w:rPr>
          <w:rFonts w:hint="eastAsia" w:ascii="仿宋" w:hAnsi="仿宋" w:eastAsia="仿宋" w:cs="仿宋"/>
          <w:szCs w:val="32"/>
        </w:rPr>
      </w:pPr>
      <w:r>
        <w:rPr>
          <w:rFonts w:hint="eastAsia" w:ascii="仿宋" w:hAnsi="仿宋" w:eastAsia="仿宋" w:cs="仿宋"/>
          <w:b/>
          <w:snapToGrid w:val="0"/>
          <w:sz w:val="36"/>
          <w:szCs w:val="36"/>
        </w:rPr>
        <w:t>上会会计师事务所</w:t>
      </w:r>
      <w:r>
        <w:rPr>
          <w:rFonts w:hint="eastAsia" w:ascii="仿宋" w:hAnsi="仿宋" w:eastAsia="仿宋" w:cs="仿宋"/>
          <w:b/>
          <w:snapToGrid w:val="0"/>
          <w:sz w:val="36"/>
          <w:szCs w:val="36"/>
          <w:lang w:eastAsia="zh-CN"/>
        </w:rPr>
        <w:t>（</w:t>
      </w:r>
      <w:r>
        <w:rPr>
          <w:rFonts w:hint="eastAsia" w:ascii="仿宋" w:hAnsi="仿宋" w:eastAsia="仿宋" w:cs="仿宋"/>
          <w:b/>
          <w:snapToGrid w:val="0"/>
          <w:sz w:val="36"/>
          <w:szCs w:val="36"/>
        </w:rPr>
        <w:t>特殊普通合伙</w:t>
      </w:r>
      <w:r>
        <w:rPr>
          <w:rFonts w:hint="eastAsia" w:ascii="仿宋" w:hAnsi="仿宋" w:eastAsia="仿宋" w:cs="仿宋"/>
          <w:b/>
          <w:snapToGrid w:val="0"/>
          <w:sz w:val="36"/>
          <w:szCs w:val="36"/>
          <w:lang w:eastAsia="zh-CN"/>
        </w:rPr>
        <w:t>）</w:t>
      </w:r>
      <w:r>
        <w:rPr>
          <w:rFonts w:hint="eastAsia" w:ascii="仿宋" w:hAnsi="仿宋" w:eastAsia="仿宋" w:cs="仿宋"/>
          <w:b/>
          <w:snapToGrid w:val="0"/>
          <w:sz w:val="36"/>
          <w:szCs w:val="36"/>
        </w:rPr>
        <w:t>湖北分所</w:t>
      </w:r>
      <w:bookmarkEnd w:id="9"/>
    </w:p>
    <w:p>
      <w:pPr>
        <w:widowControl/>
        <w:wordWrap/>
        <w:jc w:val="right"/>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Cs w:val="32"/>
        </w:rPr>
        <w:t xml:space="preserve"> 报告编码：上会鄂报字（2023）第0259号         </w:t>
      </w:r>
    </w:p>
    <w:p>
      <w:pPr>
        <w:widowControl/>
        <w:jc w:val="center"/>
        <w:rPr>
          <w:rFonts w:hint="eastAsia" w:ascii="仿宋" w:hAnsi="仿宋" w:eastAsia="仿宋" w:cs="仿宋"/>
          <w:b/>
          <w:bCs/>
          <w:sz w:val="72"/>
          <w:szCs w:val="72"/>
        </w:rPr>
      </w:pPr>
    </w:p>
    <w:p>
      <w:pPr>
        <w:widowControl/>
        <w:jc w:val="center"/>
        <w:rPr>
          <w:rFonts w:hint="eastAsia" w:ascii="仿宋" w:hAnsi="仿宋" w:eastAsia="仿宋" w:cs="仿宋"/>
          <w:b/>
          <w:bCs/>
          <w:sz w:val="72"/>
          <w:szCs w:val="72"/>
        </w:rPr>
      </w:pPr>
      <w:r>
        <w:rPr>
          <w:rFonts w:hint="eastAsia" w:ascii="方正小标宋_GBK" w:hAnsi="方正小标宋_GBK" w:eastAsia="方正小标宋_GBK" w:cs="方正小标宋_GBK"/>
          <w:b/>
          <w:bCs/>
          <w:sz w:val="36"/>
          <w:szCs w:val="36"/>
        </w:rPr>
        <w:t>通城县预算绩效评价报告</w:t>
      </w:r>
      <w:r>
        <w:rPr>
          <w:rFonts w:hint="eastAsia" w:ascii="仿宋" w:hAnsi="仿宋" w:eastAsia="仿宋" w:cs="仿宋"/>
          <w:b/>
          <w:bCs/>
          <w:sz w:val="72"/>
          <w:szCs w:val="72"/>
        </w:rPr>
        <w:t xml:space="preserve">   </w:t>
      </w:r>
    </w:p>
    <w:p>
      <w:pPr>
        <w:widowControl/>
        <w:jc w:val="center"/>
        <w:rPr>
          <w:rFonts w:hint="eastAsia" w:ascii="楷体" w:hAnsi="楷体" w:eastAsia="楷体" w:cs="楷体"/>
          <w:b w:val="0"/>
          <w:bCs w:val="0"/>
          <w:sz w:val="32"/>
          <w:szCs w:val="32"/>
        </w:rPr>
      </w:pPr>
      <w:bookmarkStart w:id="122" w:name="_GoBack"/>
      <w:r>
        <w:rPr>
          <w:rFonts w:hint="eastAsia" w:ascii="楷体" w:hAnsi="楷体" w:eastAsia="楷体" w:cs="楷体"/>
          <w:b w:val="0"/>
          <w:bCs w:val="0"/>
          <w:sz w:val="32"/>
          <w:szCs w:val="32"/>
        </w:rPr>
        <w:t>（专业版）</w:t>
      </w:r>
    </w:p>
    <w:bookmarkEnd w:id="122"/>
    <w:p>
      <w:pPr>
        <w:widowControl/>
        <w:jc w:val="center"/>
        <w:rPr>
          <w:rFonts w:hint="eastAsia" w:ascii="仿宋" w:hAnsi="仿宋" w:eastAsia="仿宋" w:cs="仿宋"/>
          <w:b/>
          <w:bCs/>
          <w:sz w:val="44"/>
          <w:szCs w:val="44"/>
        </w:rPr>
      </w:pPr>
    </w:p>
    <w:p>
      <w:pPr>
        <w:jc w:val="left"/>
        <w:rPr>
          <w:rFonts w:hint="eastAsia" w:ascii="仿宋" w:hAnsi="仿宋" w:eastAsia="仿宋" w:cs="仿宋"/>
          <w:b/>
          <w:bCs/>
          <w:szCs w:val="32"/>
          <w:highlight w:val="yellow"/>
        </w:rPr>
      </w:pPr>
    </w:p>
    <w:p>
      <w:pPr>
        <w:spacing w:line="300" w:lineRule="auto"/>
        <w:ind w:left="1581" w:hanging="1580" w:hangingChars="500"/>
        <w:rPr>
          <w:rFonts w:ascii="仿宋" w:hAnsi="仿宋" w:eastAsia="仿宋" w:cs="仿宋"/>
          <w:b/>
          <w:bCs/>
          <w:szCs w:val="32"/>
          <w:u w:val="single"/>
        </w:rPr>
      </w:pPr>
      <w:r>
        <w:rPr>
          <w:rFonts w:hint="eastAsia" w:ascii="仿宋" w:hAnsi="仿宋" w:eastAsia="仿宋" w:cs="仿宋"/>
          <w:b/>
          <w:bCs/>
          <w:szCs w:val="32"/>
        </w:rPr>
        <w:t>报告名称：</w:t>
      </w:r>
      <w:r>
        <w:rPr>
          <w:rFonts w:hint="eastAsia" w:ascii="仿宋" w:hAnsi="仿宋" w:eastAsia="仿宋" w:cs="仿宋"/>
          <w:b/>
          <w:bCs/>
          <w:szCs w:val="32"/>
          <w:u w:val="single"/>
          <w:lang w:val="en-US" w:eastAsia="zh-CN"/>
        </w:rPr>
        <w:t>2022年食品药品检测项目</w:t>
      </w:r>
      <w:r>
        <w:rPr>
          <w:rFonts w:hint="eastAsia" w:ascii="仿宋" w:hAnsi="仿宋" w:eastAsia="仿宋" w:cs="仿宋"/>
          <w:b/>
          <w:bCs/>
          <w:szCs w:val="32"/>
          <w:u w:val="single"/>
        </w:rPr>
        <w:t xml:space="preserve">绩效评价报告               </w:t>
      </w:r>
    </w:p>
    <w:p>
      <w:pPr>
        <w:spacing w:line="300" w:lineRule="auto"/>
        <w:rPr>
          <w:rFonts w:ascii="仿宋" w:hAnsi="仿宋" w:eastAsia="仿宋" w:cs="仿宋"/>
          <w:b/>
          <w:bCs/>
          <w:szCs w:val="32"/>
          <w:u w:val="single"/>
        </w:rPr>
      </w:pPr>
      <w:r>
        <w:rPr>
          <w:rFonts w:hint="eastAsia" w:ascii="仿宋" w:hAnsi="仿宋" w:eastAsia="仿宋" w:cs="仿宋"/>
          <w:b/>
          <w:bCs/>
          <w:szCs w:val="32"/>
        </w:rPr>
        <w:t>预算部门（单位）：</w:t>
      </w:r>
      <w:r>
        <w:rPr>
          <w:rFonts w:hint="eastAsia" w:ascii="仿宋" w:hAnsi="仿宋" w:eastAsia="仿宋" w:cs="仿宋"/>
          <w:b/>
          <w:bCs/>
          <w:szCs w:val="32"/>
          <w:u w:val="single"/>
        </w:rPr>
        <w:t>通城县</w:t>
      </w:r>
      <w:r>
        <w:rPr>
          <w:rFonts w:hint="eastAsia" w:ascii="仿宋" w:hAnsi="仿宋" w:eastAsia="仿宋" w:cs="仿宋"/>
          <w:b/>
          <w:bCs/>
          <w:szCs w:val="32"/>
          <w:u w:val="single"/>
          <w:lang w:val="en-US" w:eastAsia="zh-CN"/>
        </w:rPr>
        <w:t>市场监督管理局</w:t>
      </w:r>
      <w:r>
        <w:rPr>
          <w:rFonts w:hint="eastAsia" w:ascii="仿宋" w:hAnsi="仿宋" w:eastAsia="仿宋" w:cs="仿宋"/>
          <w:b/>
          <w:bCs/>
          <w:szCs w:val="32"/>
          <w:u w:val="single"/>
        </w:rPr>
        <w:t xml:space="preserve">                           </w:t>
      </w:r>
    </w:p>
    <w:p>
      <w:pPr>
        <w:spacing w:line="300" w:lineRule="auto"/>
        <w:rPr>
          <w:rFonts w:ascii="仿宋" w:hAnsi="仿宋" w:eastAsia="仿宋" w:cs="仿宋"/>
          <w:b/>
          <w:bCs/>
          <w:szCs w:val="32"/>
        </w:rPr>
      </w:pPr>
      <w:r>
        <w:rPr>
          <w:rFonts w:hint="eastAsia" w:ascii="仿宋" w:hAnsi="仿宋" w:eastAsia="仿宋" w:cs="仿宋"/>
          <w:b/>
          <w:bCs/>
          <w:szCs w:val="32"/>
        </w:rPr>
        <w:t>预算年度：</w:t>
      </w:r>
      <w:r>
        <w:rPr>
          <w:rFonts w:hint="eastAsia" w:ascii="仿宋" w:hAnsi="仿宋" w:eastAsia="仿宋" w:cs="仿宋"/>
          <w:b/>
          <w:bCs/>
          <w:szCs w:val="32"/>
          <w:u w:val="single"/>
        </w:rPr>
        <w:t>202</w:t>
      </w:r>
      <w:r>
        <w:rPr>
          <w:rFonts w:hint="eastAsia" w:ascii="仿宋" w:hAnsi="仿宋" w:eastAsia="仿宋" w:cs="仿宋"/>
          <w:b/>
          <w:bCs/>
          <w:szCs w:val="32"/>
          <w:u w:val="single"/>
          <w:lang w:val="en-US" w:eastAsia="zh-CN"/>
        </w:rPr>
        <w:t>2</w:t>
      </w:r>
      <w:r>
        <w:rPr>
          <w:rFonts w:hint="eastAsia" w:ascii="仿宋" w:hAnsi="仿宋" w:eastAsia="仿宋" w:cs="仿宋"/>
          <w:b/>
          <w:bCs/>
          <w:szCs w:val="32"/>
          <w:u w:val="single"/>
        </w:rPr>
        <w:t xml:space="preserve">年                                        </w:t>
      </w:r>
    </w:p>
    <w:p>
      <w:pPr>
        <w:spacing w:line="300" w:lineRule="auto"/>
        <w:jc w:val="left"/>
        <w:rPr>
          <w:rFonts w:hint="eastAsia" w:ascii="仿宋" w:hAnsi="仿宋" w:eastAsia="仿宋" w:cs="仿宋"/>
          <w:b/>
          <w:bCs/>
          <w:szCs w:val="32"/>
        </w:rPr>
      </w:pPr>
      <w:r>
        <w:rPr>
          <w:rFonts w:hint="eastAsia" w:ascii="仿宋" w:hAnsi="仿宋" w:eastAsia="仿宋" w:cs="仿宋"/>
          <w:b/>
          <w:bCs/>
          <w:szCs w:val="32"/>
        </w:rPr>
        <w:t xml:space="preserve">评价类型：项目☑       政策□        部门整体□ </w:t>
      </w:r>
    </w:p>
    <w:p>
      <w:pPr>
        <w:spacing w:line="300" w:lineRule="auto"/>
        <w:jc w:val="left"/>
        <w:rPr>
          <w:rFonts w:hint="eastAsia" w:ascii="仿宋" w:hAnsi="仿宋" w:eastAsia="仿宋" w:cs="仿宋"/>
          <w:b/>
          <w:bCs/>
          <w:szCs w:val="32"/>
        </w:rPr>
      </w:pPr>
    </w:p>
    <w:p>
      <w:pPr>
        <w:spacing w:line="300" w:lineRule="auto"/>
        <w:rPr>
          <w:rFonts w:hint="eastAsia" w:ascii="仿宋" w:hAnsi="仿宋" w:eastAsia="仿宋" w:cs="仿宋"/>
          <w:b/>
          <w:bCs/>
          <w:szCs w:val="32"/>
          <w:u w:val="single"/>
        </w:rPr>
      </w:pPr>
      <w:r>
        <w:rPr>
          <w:rFonts w:hint="eastAsia" w:ascii="仿宋" w:hAnsi="仿宋" w:eastAsia="仿宋" w:cs="仿宋"/>
          <w:b/>
          <w:bCs/>
          <w:szCs w:val="32"/>
        </w:rPr>
        <w:t>评价单位：</w:t>
      </w:r>
      <w:r>
        <w:rPr>
          <w:rFonts w:hint="eastAsia" w:ascii="仿宋" w:hAnsi="仿宋" w:eastAsia="仿宋" w:cs="仿宋"/>
          <w:b/>
          <w:bCs/>
          <w:szCs w:val="32"/>
          <w:u w:val="single"/>
        </w:rPr>
        <w:t xml:space="preserve">上会会计师事务所（特殊普通合伙） 湖北分所            </w:t>
      </w:r>
    </w:p>
    <w:p>
      <w:pPr>
        <w:spacing w:line="300" w:lineRule="auto"/>
        <w:rPr>
          <w:rFonts w:hint="eastAsia" w:ascii="仿宋" w:hAnsi="仿宋" w:eastAsia="仿宋" w:cs="仿宋"/>
          <w:b/>
          <w:bCs/>
          <w:szCs w:val="32"/>
        </w:rPr>
      </w:pPr>
      <w:r>
        <w:rPr>
          <w:rFonts w:hint="eastAsia" w:ascii="仿宋" w:hAnsi="仿宋" w:eastAsia="仿宋" w:cs="仿宋"/>
          <w:b/>
          <w:bCs/>
          <w:szCs w:val="32"/>
        </w:rPr>
        <w:t>主评人1：</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hint="eastAsia" w:ascii="仿宋" w:hAnsi="仿宋" w:eastAsia="仿宋" w:cs="仿宋"/>
          <w:b/>
          <w:bCs/>
          <w:szCs w:val="32"/>
        </w:rPr>
      </w:pPr>
      <w:r>
        <w:rPr>
          <w:rFonts w:hint="eastAsia" w:ascii="仿宋" w:hAnsi="仿宋" w:eastAsia="仿宋" w:cs="仿宋"/>
          <w:b/>
          <w:bCs/>
          <w:szCs w:val="32"/>
        </w:rPr>
        <w:t>主评人2：</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hint="eastAsia" w:ascii="仿宋" w:hAnsi="仿宋" w:eastAsia="仿宋" w:cs="仿宋"/>
          <w:b/>
          <w:bCs/>
          <w:szCs w:val="32"/>
        </w:rPr>
      </w:pPr>
      <w:r>
        <w:rPr>
          <w:rFonts w:hint="eastAsia" w:ascii="仿宋" w:hAnsi="仿宋" w:eastAsia="仿宋" w:cs="仿宋"/>
          <w:b/>
          <w:bCs/>
          <w:szCs w:val="32"/>
        </w:rPr>
        <w:t>专    家：</w:t>
      </w:r>
      <w:r>
        <w:rPr>
          <w:rFonts w:hint="eastAsia" w:ascii="仿宋" w:hAnsi="仿宋" w:eastAsia="仿宋" w:cs="仿宋"/>
          <w:b/>
          <w:bCs/>
          <w:szCs w:val="32"/>
          <w:u w:val="single"/>
        </w:rPr>
        <w:t xml:space="preserve">                                              </w:t>
      </w:r>
      <w:r>
        <w:rPr>
          <w:rFonts w:hint="eastAsia" w:ascii="仿宋" w:hAnsi="仿宋" w:eastAsia="仿宋" w:cs="仿宋"/>
          <w:b/>
          <w:bCs/>
          <w:szCs w:val="32"/>
        </w:rPr>
        <w:t xml:space="preserve"> </w:t>
      </w:r>
    </w:p>
    <w:p>
      <w:pPr>
        <w:spacing w:line="300" w:lineRule="auto"/>
        <w:rPr>
          <w:rFonts w:ascii="仿宋" w:hAnsi="仿宋" w:eastAsia="仿宋" w:cs="仿宋"/>
          <w:b/>
          <w:bCs/>
          <w:spacing w:val="0"/>
          <w:kern w:val="0"/>
          <w:sz w:val="36"/>
          <w:szCs w:val="36"/>
          <w:fitText w:val="360" w:id="-1447286526"/>
        </w:rPr>
        <w:sectPr>
          <w:pgSz w:w="11906" w:h="16838"/>
          <w:pgMar w:top="2098" w:right="1474" w:bottom="1984" w:left="1587" w:header="851" w:footer="992" w:gutter="0"/>
          <w:pgNumType w:fmt="numberInDash"/>
          <w:cols w:space="720" w:num="1"/>
          <w:docGrid w:type="linesAndChars" w:linePitch="579" w:charSpace="-1024"/>
        </w:sectPr>
      </w:pPr>
      <w:r>
        <w:rPr>
          <w:rFonts w:hint="eastAsia" w:ascii="仿宋" w:hAnsi="仿宋" w:eastAsia="仿宋" w:cs="仿宋"/>
          <w:b/>
          <w:bCs/>
          <w:szCs w:val="32"/>
        </w:rPr>
        <w:t>正式提交日期</w:t>
      </w:r>
      <w:r>
        <w:rPr>
          <w:rFonts w:hint="eastAsia" w:ascii="仿宋" w:hAnsi="仿宋" w:eastAsia="仿宋" w:cs="仿宋"/>
          <w:b/>
          <w:bCs/>
          <w:szCs w:val="32"/>
          <w:highlight w:val="none"/>
        </w:rPr>
        <w:t>：</w:t>
      </w:r>
      <w:r>
        <w:rPr>
          <w:rFonts w:hint="eastAsia" w:ascii="仿宋" w:hAnsi="仿宋" w:eastAsia="仿宋" w:cs="仿宋"/>
          <w:b/>
          <w:bCs/>
          <w:szCs w:val="32"/>
          <w:highlight w:val="none"/>
          <w:u w:val="single"/>
        </w:rPr>
        <w:t>202</w:t>
      </w:r>
      <w:r>
        <w:rPr>
          <w:rFonts w:hint="eastAsia" w:ascii="仿宋" w:hAnsi="仿宋" w:eastAsia="仿宋" w:cs="仿宋"/>
          <w:b/>
          <w:bCs/>
          <w:szCs w:val="32"/>
          <w:highlight w:val="none"/>
          <w:u w:val="single"/>
          <w:lang w:val="en-US" w:eastAsia="zh-CN"/>
        </w:rPr>
        <w:t>3</w:t>
      </w:r>
      <w:r>
        <w:rPr>
          <w:rFonts w:hint="eastAsia" w:ascii="仿宋" w:hAnsi="仿宋" w:eastAsia="仿宋" w:cs="仿宋"/>
          <w:b/>
          <w:bCs/>
          <w:szCs w:val="32"/>
          <w:highlight w:val="none"/>
          <w:u w:val="single"/>
        </w:rPr>
        <w:t>年</w:t>
      </w:r>
      <w:r>
        <w:rPr>
          <w:rFonts w:hint="eastAsia" w:ascii="仿宋" w:hAnsi="仿宋" w:eastAsia="仿宋" w:cs="仿宋"/>
          <w:b/>
          <w:bCs/>
          <w:szCs w:val="32"/>
          <w:highlight w:val="none"/>
          <w:u w:val="single"/>
          <w:lang w:val="en-US" w:eastAsia="zh-CN"/>
        </w:rPr>
        <w:t>9</w:t>
      </w:r>
      <w:r>
        <w:rPr>
          <w:rFonts w:hint="eastAsia" w:ascii="仿宋" w:hAnsi="仿宋" w:eastAsia="仿宋" w:cs="仿宋"/>
          <w:b/>
          <w:bCs/>
          <w:szCs w:val="32"/>
          <w:highlight w:val="none"/>
          <w:u w:val="single"/>
        </w:rPr>
        <w:t>月</w:t>
      </w:r>
      <w:r>
        <w:rPr>
          <w:rFonts w:hint="eastAsia" w:ascii="仿宋" w:hAnsi="仿宋" w:eastAsia="仿宋" w:cs="仿宋"/>
          <w:b/>
          <w:bCs/>
          <w:szCs w:val="32"/>
          <w:highlight w:val="none"/>
          <w:u w:val="single"/>
          <w:lang w:val="en-US" w:eastAsia="zh-CN"/>
        </w:rPr>
        <w:t>28</w:t>
      </w:r>
      <w:r>
        <w:rPr>
          <w:rFonts w:hint="eastAsia" w:ascii="仿宋" w:hAnsi="仿宋" w:eastAsia="仿宋" w:cs="仿宋"/>
          <w:b/>
          <w:bCs/>
          <w:szCs w:val="32"/>
          <w:highlight w:val="none"/>
          <w:u w:val="single"/>
        </w:rPr>
        <w:t xml:space="preserve">日     </w:t>
      </w:r>
      <w:r>
        <w:rPr>
          <w:rFonts w:hint="eastAsia" w:ascii="仿宋" w:hAnsi="仿宋" w:eastAsia="仿宋" w:cs="仿宋"/>
          <w:b/>
          <w:bCs/>
          <w:szCs w:val="32"/>
          <w:u w:val="single"/>
        </w:rPr>
        <w:t xml:space="preserve">                     </w:t>
      </w:r>
    </w:p>
    <w:p>
      <w:pPr>
        <w:jc w:val="center"/>
        <w:rPr>
          <w:rFonts w:hint="eastAsia" w:ascii="仿宋" w:hAnsi="仿宋" w:eastAsia="仿宋" w:cs="仿宋"/>
          <w:kern w:val="2"/>
          <w:sz w:val="32"/>
          <w:szCs w:val="32"/>
          <w:highlight w:val="none"/>
          <w:lang w:val="en-US" w:eastAsia="zh-CN" w:bidi="ar-SA"/>
        </w:rPr>
      </w:pPr>
      <w:r>
        <w:rPr>
          <w:rFonts w:hint="eastAsia" w:ascii="仿宋" w:hAnsi="仿宋" w:eastAsia="仿宋" w:cs="仿宋"/>
          <w:b/>
          <w:bCs/>
          <w:sz w:val="40"/>
          <w:szCs w:val="40"/>
          <w:highlight w:val="none"/>
        </w:rPr>
        <w:t>目 录</w:t>
      </w: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TOC \o "1-3" \h \u </w:instrText>
      </w:r>
      <w:r>
        <w:rPr>
          <w:rFonts w:hint="eastAsia" w:ascii="仿宋" w:hAnsi="仿宋" w:eastAsia="仿宋" w:cs="仿宋"/>
          <w:szCs w:val="32"/>
          <w:highlight w:val="none"/>
        </w:rPr>
        <w:fldChar w:fldCharType="separate"/>
      </w:r>
    </w:p>
    <w:p>
      <w:pPr>
        <w:pStyle w:val="12"/>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_Toc17052 </w:instrText>
      </w:r>
      <w:r>
        <w:rPr>
          <w:rFonts w:hint="eastAsia" w:ascii="仿宋" w:hAnsi="仿宋" w:eastAsia="仿宋" w:cs="仿宋"/>
          <w:szCs w:val="32"/>
          <w:highlight w:val="none"/>
        </w:rPr>
        <w:fldChar w:fldCharType="separate"/>
      </w:r>
      <w:r>
        <w:rPr>
          <w:rFonts w:hint="eastAsia"/>
        </w:rPr>
        <w:t>1 评价结论</w:t>
      </w:r>
      <w:r>
        <w:tab/>
      </w:r>
      <w:r>
        <w:fldChar w:fldCharType="begin"/>
      </w:r>
      <w:r>
        <w:instrText xml:space="preserve"> PAGEREF _Toc17052 \h </w:instrText>
      </w:r>
      <w:r>
        <w:fldChar w:fldCharType="separate"/>
      </w:r>
      <w:r>
        <w:t>1</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_Toc17707 </w:instrText>
      </w:r>
      <w:r>
        <w:rPr>
          <w:rFonts w:hint="eastAsia" w:ascii="仿宋" w:hAnsi="仿宋" w:eastAsia="仿宋" w:cs="仿宋"/>
          <w:szCs w:val="32"/>
          <w:highlight w:val="none"/>
        </w:rPr>
        <w:fldChar w:fldCharType="separate"/>
      </w:r>
      <w:r>
        <w:rPr>
          <w:rFonts w:hint="eastAsia"/>
        </w:rPr>
        <w:t>1.1评价分数和等级</w:t>
      </w:r>
      <w:r>
        <w:tab/>
      </w:r>
      <w:r>
        <w:fldChar w:fldCharType="begin"/>
      </w:r>
      <w:r>
        <w:instrText xml:space="preserve"> PAGEREF _Toc17707 \h </w:instrText>
      </w:r>
      <w:r>
        <w:fldChar w:fldCharType="separate"/>
      </w:r>
      <w:r>
        <w:t>1</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_Toc6261 </w:instrText>
      </w:r>
      <w:r>
        <w:rPr>
          <w:rFonts w:hint="eastAsia" w:ascii="仿宋" w:hAnsi="仿宋" w:eastAsia="仿宋" w:cs="仿宋"/>
          <w:szCs w:val="32"/>
          <w:highlight w:val="none"/>
        </w:rPr>
        <w:fldChar w:fldCharType="separate"/>
      </w:r>
      <w:r>
        <w:rPr>
          <w:rFonts w:hint="eastAsia"/>
        </w:rPr>
        <w:t>1.2绩效目标完成情况分析</w:t>
      </w:r>
      <w:r>
        <w:tab/>
      </w:r>
      <w:r>
        <w:fldChar w:fldCharType="begin"/>
      </w:r>
      <w:r>
        <w:instrText xml:space="preserve"> PAGEREF _Toc6261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_Toc30752 </w:instrText>
      </w:r>
      <w:r>
        <w:rPr>
          <w:rFonts w:hint="eastAsia" w:ascii="仿宋" w:hAnsi="仿宋" w:eastAsia="仿宋" w:cs="仿宋"/>
          <w:szCs w:val="32"/>
          <w:highlight w:val="none"/>
        </w:rPr>
        <w:fldChar w:fldCharType="separate"/>
      </w:r>
      <w:r>
        <w:rPr>
          <w:rFonts w:hint="eastAsia"/>
        </w:rPr>
        <w:t>1.2.1决策。权重</w:t>
      </w:r>
      <w:r>
        <w:rPr>
          <w:rFonts w:hint="eastAsia"/>
          <w:lang w:val="en-US" w:eastAsia="zh-CN"/>
        </w:rPr>
        <w:t>20</w:t>
      </w:r>
      <w:r>
        <w:rPr>
          <w:rFonts w:hint="eastAsia"/>
        </w:rPr>
        <w:t>分，得分</w:t>
      </w:r>
      <w:r>
        <w:rPr>
          <w:rFonts w:hint="eastAsia"/>
          <w:lang w:val="en-US" w:eastAsia="zh-CN"/>
        </w:rPr>
        <w:t>19</w:t>
      </w:r>
      <w:r>
        <w:rPr>
          <w:rFonts w:hint="eastAsia"/>
        </w:rPr>
        <w:t>分，扣</w:t>
      </w:r>
      <w:r>
        <w:rPr>
          <w:rFonts w:hint="eastAsia"/>
          <w:lang w:val="en-US" w:eastAsia="zh-CN"/>
        </w:rPr>
        <w:t>1</w:t>
      </w:r>
      <w:r>
        <w:rPr>
          <w:rFonts w:hint="eastAsia"/>
        </w:rPr>
        <w:t>分</w:t>
      </w:r>
      <w:r>
        <w:tab/>
      </w:r>
      <w:r>
        <w:fldChar w:fldCharType="begin"/>
      </w:r>
      <w:r>
        <w:instrText xml:space="preserve"> PAGEREF _Toc30752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_Toc19768 </w:instrText>
      </w:r>
      <w:r>
        <w:rPr>
          <w:rFonts w:hint="eastAsia" w:ascii="仿宋" w:hAnsi="仿宋" w:eastAsia="仿宋" w:cs="仿宋"/>
          <w:szCs w:val="32"/>
          <w:highlight w:val="none"/>
        </w:rPr>
        <w:fldChar w:fldCharType="separate"/>
      </w:r>
      <w:r>
        <w:rPr>
          <w:rFonts w:hint="eastAsia"/>
        </w:rPr>
        <w:t>1.2.2过程。权重</w:t>
      </w:r>
      <w:r>
        <w:rPr>
          <w:rFonts w:hint="eastAsia"/>
          <w:lang w:val="en-US" w:eastAsia="zh-CN"/>
        </w:rPr>
        <w:t>20</w:t>
      </w:r>
      <w:r>
        <w:rPr>
          <w:rFonts w:hint="eastAsia"/>
        </w:rPr>
        <w:t>分，得分</w:t>
      </w:r>
      <w:r>
        <w:rPr>
          <w:rFonts w:hint="eastAsia"/>
          <w:lang w:val="en-US" w:eastAsia="zh-CN"/>
        </w:rPr>
        <w:t>19.93</w:t>
      </w:r>
      <w:r>
        <w:rPr>
          <w:rFonts w:hint="eastAsia"/>
        </w:rPr>
        <w:t>分，扣</w:t>
      </w:r>
      <w:r>
        <w:rPr>
          <w:rFonts w:hint="eastAsia"/>
          <w:lang w:val="en-US" w:eastAsia="zh-CN"/>
        </w:rPr>
        <w:t>0.07</w:t>
      </w:r>
      <w:r>
        <w:rPr>
          <w:rFonts w:hint="eastAsia"/>
        </w:rPr>
        <w:t>分</w:t>
      </w:r>
      <w:r>
        <w:tab/>
      </w:r>
      <w:r>
        <w:fldChar w:fldCharType="begin"/>
      </w:r>
      <w:r>
        <w:instrText xml:space="preserve"> PAGEREF _Toc19768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_Toc12188 </w:instrText>
      </w:r>
      <w:r>
        <w:rPr>
          <w:rFonts w:hint="eastAsia" w:ascii="仿宋" w:hAnsi="仿宋" w:eastAsia="仿宋" w:cs="仿宋"/>
          <w:szCs w:val="32"/>
          <w:highlight w:val="none"/>
        </w:rPr>
        <w:fldChar w:fldCharType="separate"/>
      </w:r>
      <w:r>
        <w:rPr>
          <w:rFonts w:hint="eastAsia"/>
        </w:rPr>
        <w:t>1.2.3产出。权重</w:t>
      </w:r>
      <w:r>
        <w:rPr>
          <w:rFonts w:hint="eastAsia"/>
          <w:lang w:val="en-US" w:eastAsia="zh-CN"/>
        </w:rPr>
        <w:t>40</w:t>
      </w:r>
      <w:r>
        <w:rPr>
          <w:rFonts w:hint="eastAsia"/>
        </w:rPr>
        <w:t>分，得分</w:t>
      </w:r>
      <w:r>
        <w:rPr>
          <w:rFonts w:hint="eastAsia"/>
          <w:lang w:val="en-US" w:eastAsia="zh-CN"/>
        </w:rPr>
        <w:t>29.5</w:t>
      </w:r>
      <w:r>
        <w:rPr>
          <w:rFonts w:hint="eastAsia"/>
        </w:rPr>
        <w:t>分，扣</w:t>
      </w:r>
      <w:r>
        <w:rPr>
          <w:rFonts w:hint="eastAsia"/>
          <w:lang w:val="en-US" w:eastAsia="zh-CN"/>
        </w:rPr>
        <w:t>10.5</w:t>
      </w:r>
      <w:r>
        <w:rPr>
          <w:rFonts w:hint="eastAsia"/>
        </w:rPr>
        <w:t>分</w:t>
      </w:r>
      <w:r>
        <w:tab/>
      </w:r>
      <w:r>
        <w:fldChar w:fldCharType="begin"/>
      </w:r>
      <w:r>
        <w:instrText xml:space="preserve"> PAGEREF _Toc12188 \h </w:instrText>
      </w:r>
      <w:r>
        <w:fldChar w:fldCharType="separate"/>
      </w:r>
      <w:r>
        <w:t>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_Toc27037 </w:instrText>
      </w:r>
      <w:r>
        <w:rPr>
          <w:rFonts w:hint="eastAsia" w:ascii="仿宋" w:hAnsi="仿宋" w:eastAsia="仿宋" w:cs="仿宋"/>
          <w:szCs w:val="32"/>
          <w:highlight w:val="none"/>
        </w:rPr>
        <w:fldChar w:fldCharType="separate"/>
      </w:r>
      <w:r>
        <w:rPr>
          <w:rFonts w:hint="eastAsia"/>
        </w:rPr>
        <w:t>1.2.4效果。权重</w:t>
      </w:r>
      <w:r>
        <w:rPr>
          <w:rFonts w:hint="eastAsia"/>
          <w:lang w:val="en-US" w:eastAsia="zh-CN"/>
        </w:rPr>
        <w:t>20</w:t>
      </w:r>
      <w:r>
        <w:rPr>
          <w:rFonts w:hint="eastAsia"/>
        </w:rPr>
        <w:t>分，得分</w:t>
      </w:r>
      <w:r>
        <w:rPr>
          <w:rFonts w:hint="eastAsia"/>
          <w:lang w:val="en-US" w:eastAsia="zh-CN"/>
        </w:rPr>
        <w:t>20</w:t>
      </w:r>
      <w:r>
        <w:rPr>
          <w:rFonts w:hint="eastAsia"/>
        </w:rPr>
        <w:t>分，</w:t>
      </w:r>
      <w:r>
        <w:rPr>
          <w:rFonts w:hint="eastAsia"/>
          <w:lang w:val="en-US" w:eastAsia="zh-CN"/>
        </w:rPr>
        <w:t>未扣分</w:t>
      </w:r>
      <w:r>
        <w:tab/>
      </w:r>
      <w:r>
        <w:fldChar w:fldCharType="begin"/>
      </w:r>
      <w:r>
        <w:instrText xml:space="preserve"> PAGEREF _Toc27037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_Toc17795 </w:instrText>
      </w:r>
      <w:r>
        <w:rPr>
          <w:rFonts w:hint="eastAsia" w:ascii="仿宋" w:hAnsi="仿宋" w:eastAsia="仿宋" w:cs="仿宋"/>
          <w:szCs w:val="32"/>
          <w:highlight w:val="none"/>
        </w:rPr>
        <w:fldChar w:fldCharType="separate"/>
      </w:r>
      <w:r>
        <w:rPr>
          <w:rFonts w:hint="eastAsia"/>
          <w:highlight w:val="none"/>
        </w:rPr>
        <w:t>1.3存在的问题和原因</w:t>
      </w:r>
      <w:r>
        <w:tab/>
      </w:r>
      <w:r>
        <w:fldChar w:fldCharType="begin"/>
      </w:r>
      <w:r>
        <w:instrText xml:space="preserve"> PAGEREF _Toc17795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_Toc19393 </w:instrText>
      </w:r>
      <w:r>
        <w:rPr>
          <w:rFonts w:hint="eastAsia" w:ascii="仿宋" w:hAnsi="仿宋" w:eastAsia="仿宋" w:cs="仿宋"/>
          <w:szCs w:val="32"/>
          <w:highlight w:val="none"/>
        </w:rPr>
        <w:fldChar w:fldCharType="separate"/>
      </w:r>
      <w:r>
        <w:rPr>
          <w:rFonts w:hint="eastAsia"/>
        </w:rPr>
        <w:t>1.3.1以前年度结果应用的情况</w:t>
      </w:r>
      <w:r>
        <w:tab/>
      </w:r>
      <w:r>
        <w:fldChar w:fldCharType="begin"/>
      </w:r>
      <w:r>
        <w:instrText xml:space="preserve"> PAGEREF _Toc19393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_Toc1059 </w:instrText>
      </w:r>
      <w:r>
        <w:rPr>
          <w:rFonts w:hint="eastAsia" w:ascii="仿宋" w:hAnsi="仿宋" w:eastAsia="仿宋" w:cs="仿宋"/>
          <w:szCs w:val="32"/>
          <w:highlight w:val="none"/>
        </w:rPr>
        <w:fldChar w:fldCharType="separate"/>
      </w:r>
      <w:r>
        <w:rPr>
          <w:rFonts w:hint="eastAsia"/>
        </w:rPr>
        <w:t>1.3.2本年度绩效管理存在的问题和原因</w:t>
      </w:r>
      <w:r>
        <w:tab/>
      </w:r>
      <w:r>
        <w:fldChar w:fldCharType="begin"/>
      </w:r>
      <w:r>
        <w:instrText xml:space="preserve"> PAGEREF _Toc1059 \h </w:instrText>
      </w:r>
      <w:r>
        <w:fldChar w:fldCharType="separate"/>
      </w:r>
      <w:r>
        <w:t>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_Toc28380 </w:instrText>
      </w:r>
      <w:r>
        <w:rPr>
          <w:rFonts w:hint="eastAsia" w:ascii="仿宋" w:hAnsi="仿宋" w:eastAsia="仿宋" w:cs="仿宋"/>
          <w:szCs w:val="32"/>
          <w:highlight w:val="none"/>
        </w:rPr>
        <w:fldChar w:fldCharType="separate"/>
      </w:r>
      <w:r>
        <w:rPr>
          <w:rFonts w:hint="eastAsia"/>
          <w:highlight w:val="none"/>
        </w:rPr>
        <w:t>1.4结果拟应用建议</w:t>
      </w:r>
      <w:r>
        <w:tab/>
      </w:r>
      <w:r>
        <w:fldChar w:fldCharType="begin"/>
      </w:r>
      <w:r>
        <w:instrText xml:space="preserve"> PAGEREF _Toc28380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_Toc21383 </w:instrText>
      </w:r>
      <w:r>
        <w:rPr>
          <w:rFonts w:hint="eastAsia" w:ascii="仿宋" w:hAnsi="仿宋" w:eastAsia="仿宋" w:cs="仿宋"/>
          <w:szCs w:val="32"/>
          <w:highlight w:val="none"/>
        </w:rPr>
        <w:fldChar w:fldCharType="separate"/>
      </w:r>
      <w:r>
        <w:rPr>
          <w:rFonts w:hint="eastAsia"/>
        </w:rPr>
        <w:t>1.4.1进一步</w:t>
      </w:r>
      <w:r>
        <w:rPr>
          <w:rFonts w:hint="eastAsia"/>
          <w:lang w:val="en-US" w:eastAsia="zh-CN"/>
        </w:rPr>
        <w:t>加强</w:t>
      </w:r>
      <w:r>
        <w:rPr>
          <w:rFonts w:hint="eastAsia"/>
        </w:rPr>
        <w:t>绩效管理工作</w:t>
      </w:r>
      <w:r>
        <w:tab/>
      </w:r>
      <w:r>
        <w:fldChar w:fldCharType="begin"/>
      </w:r>
      <w:r>
        <w:instrText xml:space="preserve"> PAGEREF _Toc21383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_Toc21934 </w:instrText>
      </w:r>
      <w:r>
        <w:rPr>
          <w:rFonts w:hint="eastAsia" w:ascii="仿宋" w:hAnsi="仿宋" w:eastAsia="仿宋" w:cs="仿宋"/>
          <w:szCs w:val="32"/>
          <w:highlight w:val="none"/>
        </w:rPr>
        <w:fldChar w:fldCharType="separate"/>
      </w:r>
      <w:r>
        <w:rPr>
          <w:rFonts w:hint="eastAsia"/>
        </w:rPr>
        <w:t>1.4.</w:t>
      </w:r>
      <w:r>
        <w:rPr>
          <w:rFonts w:hint="eastAsia"/>
          <w:lang w:val="en-US" w:eastAsia="zh-CN"/>
        </w:rPr>
        <w:t>2及时推进项目实施</w:t>
      </w:r>
      <w:r>
        <w:tab/>
      </w:r>
      <w:r>
        <w:fldChar w:fldCharType="begin"/>
      </w:r>
      <w:r>
        <w:instrText xml:space="preserve"> PAGEREF _Toc21934 \h </w:instrText>
      </w:r>
      <w:r>
        <w:fldChar w:fldCharType="separate"/>
      </w:r>
      <w:r>
        <w:t>4</w:t>
      </w:r>
      <w:r>
        <w:fldChar w:fldCharType="end"/>
      </w:r>
      <w:r>
        <w:rPr>
          <w:rFonts w:hint="eastAsia" w:ascii="仿宋" w:hAnsi="仿宋" w:eastAsia="仿宋" w:cs="仿宋"/>
          <w:szCs w:val="32"/>
          <w:highlight w:val="none"/>
        </w:rPr>
        <w:fldChar w:fldCharType="end"/>
      </w:r>
    </w:p>
    <w:p>
      <w:pPr>
        <w:pStyle w:val="12"/>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_Toc8881 </w:instrText>
      </w:r>
      <w:r>
        <w:rPr>
          <w:rFonts w:hint="eastAsia" w:ascii="仿宋" w:hAnsi="仿宋" w:eastAsia="仿宋" w:cs="仿宋"/>
          <w:szCs w:val="32"/>
          <w:highlight w:val="none"/>
        </w:rPr>
        <w:fldChar w:fldCharType="separate"/>
      </w:r>
      <w:r>
        <w:rPr>
          <w:rFonts w:hint="eastAsia"/>
        </w:rPr>
        <w:t>2 佐证资料</w:t>
      </w:r>
      <w:r>
        <w:tab/>
      </w:r>
      <w:r>
        <w:fldChar w:fldCharType="begin"/>
      </w:r>
      <w:r>
        <w:instrText xml:space="preserve"> PAGEREF _Toc8881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_Toc21876 </w:instrText>
      </w:r>
      <w:r>
        <w:rPr>
          <w:rFonts w:hint="eastAsia" w:ascii="仿宋" w:hAnsi="仿宋" w:eastAsia="仿宋" w:cs="仿宋"/>
          <w:szCs w:val="32"/>
          <w:highlight w:val="none"/>
        </w:rPr>
        <w:fldChar w:fldCharType="separate"/>
      </w:r>
      <w:r>
        <w:rPr>
          <w:rFonts w:hint="eastAsia" w:ascii="楷体" w:hAnsi="楷体" w:eastAsia="楷体" w:cs="楷体"/>
          <w:bCs/>
          <w:highlight w:val="none"/>
        </w:rPr>
        <w:t>2.1基本情况</w:t>
      </w:r>
      <w:r>
        <w:tab/>
      </w:r>
      <w:r>
        <w:fldChar w:fldCharType="begin"/>
      </w:r>
      <w:r>
        <w:instrText xml:space="preserve"> PAGEREF _Toc21876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_Toc29500 </w:instrText>
      </w:r>
      <w:r>
        <w:rPr>
          <w:rFonts w:hint="eastAsia" w:ascii="仿宋" w:hAnsi="仿宋" w:eastAsia="仿宋" w:cs="仿宋"/>
          <w:szCs w:val="32"/>
          <w:highlight w:val="none"/>
        </w:rPr>
        <w:fldChar w:fldCharType="separate"/>
      </w:r>
      <w:r>
        <w:rPr>
          <w:rFonts w:hint="eastAsia"/>
        </w:rPr>
        <w:t>2.1.1项目立项目的</w:t>
      </w:r>
      <w:r>
        <w:tab/>
      </w:r>
      <w:r>
        <w:fldChar w:fldCharType="begin"/>
      </w:r>
      <w:r>
        <w:instrText xml:space="preserve"> PAGEREF _Toc29500 \h </w:instrText>
      </w:r>
      <w:r>
        <w:fldChar w:fldCharType="separate"/>
      </w:r>
      <w:r>
        <w:t>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_Toc11614 </w:instrText>
      </w:r>
      <w:r>
        <w:rPr>
          <w:rFonts w:hint="eastAsia" w:ascii="仿宋" w:hAnsi="仿宋" w:eastAsia="仿宋" w:cs="仿宋"/>
          <w:szCs w:val="32"/>
          <w:highlight w:val="none"/>
        </w:rPr>
        <w:fldChar w:fldCharType="separate"/>
      </w:r>
      <w:r>
        <w:rPr>
          <w:rFonts w:hint="eastAsia"/>
        </w:rPr>
        <w:t>2.1.2年度绩效目标</w:t>
      </w:r>
      <w:r>
        <w:tab/>
      </w:r>
      <w:r>
        <w:fldChar w:fldCharType="begin"/>
      </w:r>
      <w:r>
        <w:instrText xml:space="preserve"> PAGEREF _Toc11614 \h </w:instrText>
      </w:r>
      <w:r>
        <w:fldChar w:fldCharType="separate"/>
      </w:r>
      <w:r>
        <w:t>5</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_Toc25463 </w:instrText>
      </w:r>
      <w:r>
        <w:rPr>
          <w:rFonts w:hint="eastAsia" w:ascii="仿宋" w:hAnsi="仿宋" w:eastAsia="仿宋" w:cs="仿宋"/>
          <w:szCs w:val="32"/>
          <w:highlight w:val="none"/>
        </w:rPr>
        <w:fldChar w:fldCharType="separate"/>
      </w:r>
      <w:r>
        <w:rPr>
          <w:rFonts w:hint="eastAsia"/>
        </w:rPr>
        <w:t>2.1.3项目资金情况</w:t>
      </w:r>
      <w:r>
        <w:tab/>
      </w:r>
      <w:r>
        <w:fldChar w:fldCharType="begin"/>
      </w:r>
      <w:r>
        <w:instrText xml:space="preserve"> PAGEREF _Toc25463 \h </w:instrText>
      </w:r>
      <w:r>
        <w:fldChar w:fldCharType="separate"/>
      </w:r>
      <w:r>
        <w:t>5</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_Toc30432 </w:instrText>
      </w:r>
      <w:r>
        <w:rPr>
          <w:rFonts w:hint="eastAsia" w:ascii="仿宋" w:hAnsi="仿宋" w:eastAsia="仿宋" w:cs="仿宋"/>
          <w:szCs w:val="32"/>
          <w:highlight w:val="none"/>
        </w:rPr>
        <w:fldChar w:fldCharType="separate"/>
      </w:r>
      <w:r>
        <w:rPr>
          <w:rFonts w:hint="eastAsia"/>
        </w:rPr>
        <w:t>2.2绩效评价工作开展情况</w:t>
      </w:r>
      <w:r>
        <w:tab/>
      </w:r>
      <w:r>
        <w:fldChar w:fldCharType="begin"/>
      </w:r>
      <w:r>
        <w:instrText xml:space="preserve"> PAGEREF _Toc30432 \h </w:instrText>
      </w:r>
      <w:r>
        <w:fldChar w:fldCharType="separate"/>
      </w:r>
      <w:r>
        <w:t>6</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_Toc12797 </w:instrText>
      </w:r>
      <w:r>
        <w:rPr>
          <w:rFonts w:hint="eastAsia" w:ascii="仿宋" w:hAnsi="仿宋" w:eastAsia="仿宋" w:cs="仿宋"/>
          <w:szCs w:val="32"/>
          <w:highlight w:val="none"/>
        </w:rPr>
        <w:fldChar w:fldCharType="separate"/>
      </w:r>
      <w:r>
        <w:rPr>
          <w:rFonts w:hint="eastAsia"/>
        </w:rPr>
        <w:t>2.2.1评价目的、对象和范围</w:t>
      </w:r>
      <w:r>
        <w:tab/>
      </w:r>
      <w:r>
        <w:fldChar w:fldCharType="begin"/>
      </w:r>
      <w:r>
        <w:instrText xml:space="preserve"> PAGEREF _Toc12797 \h </w:instrText>
      </w:r>
      <w:r>
        <w:fldChar w:fldCharType="separate"/>
      </w:r>
      <w:r>
        <w:t>6</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_Toc7503 </w:instrText>
      </w:r>
      <w:r>
        <w:rPr>
          <w:rFonts w:hint="eastAsia" w:ascii="仿宋" w:hAnsi="仿宋" w:eastAsia="仿宋" w:cs="仿宋"/>
          <w:szCs w:val="32"/>
          <w:highlight w:val="none"/>
        </w:rPr>
        <w:fldChar w:fldCharType="separate"/>
      </w:r>
      <w:r>
        <w:rPr>
          <w:rFonts w:hint="eastAsia"/>
        </w:rPr>
        <w:t>2.2.2评价方法、时间安排</w:t>
      </w:r>
      <w:r>
        <w:tab/>
      </w:r>
      <w:r>
        <w:fldChar w:fldCharType="begin"/>
      </w:r>
      <w:r>
        <w:instrText xml:space="preserve"> PAGEREF _Toc7503 \h </w:instrText>
      </w:r>
      <w:r>
        <w:fldChar w:fldCharType="separate"/>
      </w:r>
      <w:r>
        <w:t>7</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_Toc20300 </w:instrText>
      </w:r>
      <w:r>
        <w:rPr>
          <w:rFonts w:hint="eastAsia" w:ascii="仿宋" w:hAnsi="仿宋" w:eastAsia="仿宋" w:cs="仿宋"/>
          <w:szCs w:val="32"/>
          <w:highlight w:val="none"/>
        </w:rPr>
        <w:fldChar w:fldCharType="separate"/>
      </w:r>
      <w:r>
        <w:rPr>
          <w:rFonts w:hint="eastAsia"/>
        </w:rPr>
        <w:t>2.2.3评价体系和综合评分方法</w:t>
      </w:r>
      <w:r>
        <w:tab/>
      </w:r>
      <w:r>
        <w:fldChar w:fldCharType="begin"/>
      </w:r>
      <w:r>
        <w:instrText xml:space="preserve"> PAGEREF _Toc20300 \h </w:instrText>
      </w:r>
      <w:r>
        <w:fldChar w:fldCharType="separate"/>
      </w:r>
      <w:r>
        <w:t>7</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_Toc16300 </w:instrText>
      </w:r>
      <w:r>
        <w:rPr>
          <w:rFonts w:hint="eastAsia" w:ascii="仿宋" w:hAnsi="仿宋" w:eastAsia="仿宋" w:cs="仿宋"/>
          <w:szCs w:val="32"/>
          <w:highlight w:val="none"/>
        </w:rPr>
        <w:fldChar w:fldCharType="separate"/>
      </w:r>
      <w:r>
        <w:rPr>
          <w:rFonts w:hint="eastAsia"/>
        </w:rPr>
        <w:t>2.3绩效指标完成情况分析</w:t>
      </w:r>
      <w:r>
        <w:tab/>
      </w:r>
      <w:r>
        <w:fldChar w:fldCharType="begin"/>
      </w:r>
      <w:r>
        <w:instrText xml:space="preserve"> PAGEREF _Toc16300 \h </w:instrText>
      </w:r>
      <w:r>
        <w:fldChar w:fldCharType="separate"/>
      </w:r>
      <w:r>
        <w:t>8</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_Toc29940 </w:instrText>
      </w:r>
      <w:r>
        <w:rPr>
          <w:rFonts w:hint="eastAsia" w:ascii="仿宋" w:hAnsi="仿宋" w:eastAsia="仿宋" w:cs="仿宋"/>
          <w:szCs w:val="32"/>
          <w:highlight w:val="none"/>
        </w:rPr>
        <w:fldChar w:fldCharType="separate"/>
      </w:r>
      <w:r>
        <w:rPr>
          <w:rFonts w:hint="eastAsia"/>
        </w:rPr>
        <w:t>2.3.1决策</w:t>
      </w:r>
      <w:r>
        <w:tab/>
      </w:r>
      <w:r>
        <w:fldChar w:fldCharType="begin"/>
      </w:r>
      <w:r>
        <w:instrText xml:space="preserve"> PAGEREF _Toc29940 \h </w:instrText>
      </w:r>
      <w:r>
        <w:fldChar w:fldCharType="separate"/>
      </w:r>
      <w:r>
        <w:t>8</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_Toc13712 </w:instrText>
      </w:r>
      <w:r>
        <w:rPr>
          <w:rFonts w:hint="eastAsia" w:ascii="仿宋" w:hAnsi="仿宋" w:eastAsia="仿宋" w:cs="仿宋"/>
          <w:szCs w:val="32"/>
          <w:highlight w:val="none"/>
        </w:rPr>
        <w:fldChar w:fldCharType="separate"/>
      </w:r>
      <w:r>
        <w:rPr>
          <w:rFonts w:hint="eastAsia"/>
        </w:rPr>
        <w:t>2.3.2过程</w:t>
      </w:r>
      <w:r>
        <w:tab/>
      </w:r>
      <w:r>
        <w:fldChar w:fldCharType="begin"/>
      </w:r>
      <w:r>
        <w:instrText xml:space="preserve"> PAGEREF _Toc13712 \h </w:instrText>
      </w:r>
      <w:r>
        <w:fldChar w:fldCharType="separate"/>
      </w:r>
      <w:r>
        <w:t>10</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_Toc14159 </w:instrText>
      </w:r>
      <w:r>
        <w:rPr>
          <w:rFonts w:hint="eastAsia" w:ascii="仿宋" w:hAnsi="仿宋" w:eastAsia="仿宋" w:cs="仿宋"/>
          <w:szCs w:val="32"/>
          <w:highlight w:val="none"/>
        </w:rPr>
        <w:fldChar w:fldCharType="separate"/>
      </w:r>
      <w:r>
        <w:rPr>
          <w:rFonts w:hint="eastAsia"/>
        </w:rPr>
        <w:t>2.3.3产出</w:t>
      </w:r>
      <w:r>
        <w:tab/>
      </w:r>
      <w:r>
        <w:fldChar w:fldCharType="begin"/>
      </w:r>
      <w:r>
        <w:instrText xml:space="preserve"> PAGEREF _Toc14159 \h </w:instrText>
      </w:r>
      <w:r>
        <w:fldChar w:fldCharType="separate"/>
      </w:r>
      <w:r>
        <w:t>12</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_Toc30858 </w:instrText>
      </w:r>
      <w:r>
        <w:rPr>
          <w:rFonts w:hint="eastAsia" w:ascii="仿宋" w:hAnsi="仿宋" w:eastAsia="仿宋" w:cs="仿宋"/>
          <w:szCs w:val="32"/>
          <w:highlight w:val="none"/>
        </w:rPr>
        <w:fldChar w:fldCharType="separate"/>
      </w:r>
      <w:r>
        <w:rPr>
          <w:rFonts w:hint="eastAsia"/>
        </w:rPr>
        <w:t>2.3.4效果</w:t>
      </w:r>
      <w:r>
        <w:tab/>
      </w:r>
      <w:r>
        <w:fldChar w:fldCharType="begin"/>
      </w:r>
      <w:r>
        <w:instrText xml:space="preserve"> PAGEREF _Toc30858 \h </w:instrText>
      </w:r>
      <w:r>
        <w:fldChar w:fldCharType="separate"/>
      </w:r>
      <w:r>
        <w:t>13</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_Toc28129 </w:instrText>
      </w:r>
      <w:r>
        <w:rPr>
          <w:rFonts w:hint="eastAsia" w:ascii="仿宋" w:hAnsi="仿宋" w:eastAsia="仿宋" w:cs="仿宋"/>
          <w:szCs w:val="32"/>
          <w:highlight w:val="none"/>
        </w:rPr>
        <w:fldChar w:fldCharType="separate"/>
      </w:r>
      <w:r>
        <w:rPr>
          <w:rFonts w:hint="eastAsia"/>
        </w:rPr>
        <w:t>2.4上年度评价结果应用情况</w:t>
      </w:r>
      <w:r>
        <w:tab/>
      </w:r>
      <w:r>
        <w:fldChar w:fldCharType="begin"/>
      </w:r>
      <w:r>
        <w:instrText xml:space="preserve"> PAGEREF _Toc28129 \h </w:instrText>
      </w:r>
      <w:r>
        <w:fldChar w:fldCharType="separate"/>
      </w:r>
      <w:r>
        <w:t>14</w:t>
      </w:r>
      <w:r>
        <w:fldChar w:fldCharType="end"/>
      </w:r>
      <w:r>
        <w:rPr>
          <w:rFonts w:hint="eastAsia" w:ascii="仿宋" w:hAnsi="仿宋" w:eastAsia="仿宋" w:cs="仿宋"/>
          <w:szCs w:val="32"/>
          <w:highlight w:val="none"/>
        </w:rPr>
        <w:fldChar w:fldCharType="end"/>
      </w:r>
    </w:p>
    <w:p>
      <w:pPr>
        <w:pStyle w:val="13"/>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_Toc32121 </w:instrText>
      </w:r>
      <w:r>
        <w:rPr>
          <w:rFonts w:hint="eastAsia" w:ascii="仿宋" w:hAnsi="仿宋" w:eastAsia="仿宋" w:cs="仿宋"/>
          <w:szCs w:val="32"/>
          <w:highlight w:val="none"/>
        </w:rPr>
        <w:fldChar w:fldCharType="separate"/>
      </w:r>
      <w:r>
        <w:rPr>
          <w:rFonts w:hint="eastAsia"/>
        </w:rPr>
        <w:t>2.5其他佐证材料</w:t>
      </w:r>
      <w:r>
        <w:tab/>
      </w:r>
      <w:r>
        <w:fldChar w:fldCharType="begin"/>
      </w:r>
      <w:r>
        <w:instrText xml:space="preserve"> PAGEREF _Toc32121 \h </w:instrText>
      </w:r>
      <w:r>
        <w:fldChar w:fldCharType="separate"/>
      </w:r>
      <w:r>
        <w:t>14</w:t>
      </w:r>
      <w:r>
        <w:fldChar w:fldCharType="end"/>
      </w:r>
      <w:r>
        <w:rPr>
          <w:rFonts w:hint="eastAsia" w:ascii="仿宋" w:hAnsi="仿宋" w:eastAsia="仿宋" w:cs="仿宋"/>
          <w:szCs w:val="32"/>
          <w:highlight w:val="none"/>
        </w:rPr>
        <w:fldChar w:fldCharType="end"/>
      </w:r>
    </w:p>
    <w:p>
      <w:pPr>
        <w:pStyle w:val="12"/>
        <w:tabs>
          <w:tab w:val="right" w:leader="dot" w:pos="8306"/>
        </w:tabs>
      </w:pPr>
      <w:r>
        <w:rPr>
          <w:rFonts w:hint="eastAsia" w:ascii="仿宋" w:hAnsi="仿宋" w:eastAsia="仿宋" w:cs="仿宋"/>
          <w:szCs w:val="32"/>
          <w:highlight w:val="none"/>
        </w:rPr>
        <w:fldChar w:fldCharType="begin"/>
      </w:r>
      <w:r>
        <w:rPr>
          <w:rFonts w:hint="eastAsia" w:ascii="仿宋" w:hAnsi="仿宋" w:eastAsia="仿宋" w:cs="仿宋"/>
          <w:szCs w:val="32"/>
          <w:highlight w:val="none"/>
        </w:rPr>
        <w:instrText xml:space="preserve"> HYPERLINK \l _Toc28622 </w:instrText>
      </w:r>
      <w:r>
        <w:rPr>
          <w:rFonts w:hint="eastAsia" w:ascii="仿宋" w:hAnsi="仿宋" w:eastAsia="仿宋" w:cs="仿宋"/>
          <w:szCs w:val="32"/>
          <w:highlight w:val="none"/>
        </w:rPr>
        <w:fldChar w:fldCharType="separate"/>
      </w:r>
      <w:r>
        <w:rPr>
          <w:rFonts w:hint="eastAsia"/>
          <w:highlight w:val="none"/>
        </w:rPr>
        <w:t>3原始资料</w:t>
      </w:r>
      <w:r>
        <w:tab/>
      </w:r>
      <w:r>
        <w:fldChar w:fldCharType="begin"/>
      </w:r>
      <w:r>
        <w:instrText xml:space="preserve"> PAGEREF _Toc28622 \h </w:instrText>
      </w:r>
      <w:r>
        <w:fldChar w:fldCharType="separate"/>
      </w:r>
      <w:r>
        <w:t>14</w:t>
      </w:r>
      <w:r>
        <w:fldChar w:fldCharType="end"/>
      </w:r>
      <w:r>
        <w:rPr>
          <w:rFonts w:hint="eastAsia" w:ascii="仿宋" w:hAnsi="仿宋" w:eastAsia="仿宋" w:cs="仿宋"/>
          <w:szCs w:val="32"/>
          <w:highlight w:val="none"/>
        </w:rPr>
        <w:fldChar w:fldCharType="end"/>
      </w:r>
    </w:p>
    <w:p>
      <w:pPr>
        <w:pStyle w:val="6"/>
        <w:jc w:val="center"/>
        <w:rPr>
          <w:rFonts w:ascii="仿宋_GB2312" w:hAnsi="Times New Roman" w:eastAsia="仿宋_GB2312" w:cs="Times New Roman"/>
          <w:kern w:val="2"/>
          <w:sz w:val="32"/>
          <w:lang w:val="en-US" w:eastAsia="zh-CN" w:bidi="ar-SA"/>
        </w:rPr>
      </w:pPr>
      <w:r>
        <w:rPr>
          <w:rFonts w:hint="eastAsia" w:ascii="仿宋" w:hAnsi="仿宋" w:eastAsia="仿宋" w:cs="仿宋"/>
          <w:szCs w:val="32"/>
          <w:highlight w:val="none"/>
        </w:rPr>
        <w:fldChar w:fldCharType="end"/>
      </w:r>
    </w:p>
    <w:p>
      <w:pPr>
        <w:rPr>
          <w:rFonts w:ascii="仿宋_GB2312" w:hAnsi="Times New Roman" w:eastAsia="仿宋_GB2312" w:cs="Times New Roman"/>
          <w:kern w:val="2"/>
          <w:sz w:val="32"/>
          <w:lang w:val="en-US" w:eastAsia="zh-CN" w:bidi="ar-SA"/>
        </w:rPr>
      </w:pPr>
    </w:p>
    <w:p>
      <w:pPr>
        <w:pStyle w:val="6"/>
        <w:rPr>
          <w:rFonts w:ascii="仿宋_GB2312" w:hAnsi="Times New Roman" w:eastAsia="仿宋_GB2312" w:cs="Times New Roman"/>
          <w:kern w:val="2"/>
          <w:sz w:val="32"/>
          <w:lang w:val="en-US" w:eastAsia="zh-CN" w:bidi="ar-SA"/>
        </w:rPr>
      </w:pPr>
    </w:p>
    <w:p>
      <w:pPr>
        <w:rPr>
          <w:rFonts w:ascii="仿宋_GB2312" w:hAnsi="Times New Roman" w:eastAsia="仿宋_GB2312" w:cs="Times New Roman"/>
          <w:kern w:val="2"/>
          <w:sz w:val="32"/>
          <w:lang w:val="en-US" w:eastAsia="zh-CN" w:bidi="ar-SA"/>
        </w:rPr>
      </w:pPr>
    </w:p>
    <w:p>
      <w:pPr>
        <w:rPr>
          <w:lang w:val="en-US" w:eastAsia="zh-CN"/>
        </w:rPr>
      </w:pPr>
    </w:p>
    <w:p>
      <w:pPr>
        <w:spacing w:line="560" w:lineRule="exact"/>
        <w:jc w:val="center"/>
        <w:outlineLvl w:val="9"/>
        <w:rPr>
          <w:rFonts w:hint="eastAsia" w:ascii="方正小标宋_GBK" w:hAnsi="方正小标宋_GBK" w:eastAsia="方正小标宋_GBK" w:cs="方正小标宋_GBK"/>
          <w:b/>
          <w:bCs/>
          <w:kern w:val="0"/>
          <w:sz w:val="36"/>
          <w:szCs w:val="36"/>
        </w:rPr>
        <w:sectPr>
          <w:pgSz w:w="11906" w:h="16838"/>
          <w:pgMar w:top="1440" w:right="1800" w:bottom="1440" w:left="1800" w:header="851" w:footer="992" w:gutter="0"/>
          <w:cols w:space="425" w:num="1"/>
          <w:docGrid w:type="lines" w:linePitch="312" w:charSpace="0"/>
        </w:sectPr>
      </w:pPr>
    </w:p>
    <w:p>
      <w:pPr>
        <w:spacing w:line="560" w:lineRule="exact"/>
        <w:jc w:val="center"/>
        <w:outlineLvl w:val="9"/>
        <w:rPr>
          <w:rFonts w:hint="eastAsia" w:ascii="方正小标宋_GBK" w:hAnsi="方正小标宋_GBK" w:eastAsia="方正小标宋_GBK" w:cs="方正小标宋_GBK"/>
          <w:b w:val="0"/>
          <w:bCs w:val="0"/>
          <w:kern w:val="0"/>
          <w:sz w:val="36"/>
          <w:szCs w:val="36"/>
        </w:rPr>
      </w:pPr>
      <w:bookmarkStart w:id="10" w:name="_Toc31839"/>
      <w:bookmarkStart w:id="11" w:name="_Toc3489"/>
      <w:r>
        <w:rPr>
          <w:rFonts w:hint="eastAsia" w:ascii="方正小标宋_GBK" w:hAnsi="方正小标宋_GBK" w:eastAsia="方正小标宋_GBK" w:cs="方正小标宋_GBK"/>
          <w:b w:val="0"/>
          <w:bCs w:val="0"/>
          <w:kern w:val="0"/>
          <w:sz w:val="36"/>
          <w:szCs w:val="36"/>
        </w:rPr>
        <w:t>202</w:t>
      </w:r>
      <w:r>
        <w:rPr>
          <w:rFonts w:hint="eastAsia" w:ascii="方正小标宋_GBK" w:hAnsi="方正小标宋_GBK" w:eastAsia="方正小标宋_GBK" w:cs="方正小标宋_GBK"/>
          <w:b w:val="0"/>
          <w:bCs w:val="0"/>
          <w:kern w:val="0"/>
          <w:sz w:val="36"/>
          <w:szCs w:val="36"/>
          <w:lang w:val="en-US" w:eastAsia="zh-CN"/>
        </w:rPr>
        <w:t>2</w:t>
      </w:r>
      <w:r>
        <w:rPr>
          <w:rFonts w:hint="eastAsia" w:ascii="方正小标宋_GBK" w:hAnsi="方正小标宋_GBK" w:eastAsia="方正小标宋_GBK" w:cs="方正小标宋_GBK"/>
          <w:b w:val="0"/>
          <w:bCs w:val="0"/>
          <w:kern w:val="0"/>
          <w:sz w:val="36"/>
          <w:szCs w:val="36"/>
        </w:rPr>
        <w:t>年</w:t>
      </w:r>
      <w:r>
        <w:rPr>
          <w:rFonts w:hint="eastAsia" w:ascii="方正小标宋_GBK" w:hAnsi="方正小标宋_GBK" w:eastAsia="方正小标宋_GBK" w:cs="方正小标宋_GBK"/>
          <w:b w:val="0"/>
          <w:bCs w:val="0"/>
          <w:kern w:val="0"/>
          <w:sz w:val="36"/>
          <w:szCs w:val="36"/>
          <w:lang w:val="en-US" w:eastAsia="zh-CN"/>
        </w:rPr>
        <w:t>食品药品检测</w:t>
      </w:r>
      <w:r>
        <w:rPr>
          <w:rFonts w:hint="eastAsia" w:ascii="方正小标宋_GBK" w:hAnsi="方正小标宋_GBK" w:eastAsia="方正小标宋_GBK" w:cs="方正小标宋_GBK"/>
          <w:b w:val="0"/>
          <w:bCs w:val="0"/>
          <w:kern w:val="0"/>
          <w:sz w:val="36"/>
          <w:szCs w:val="36"/>
        </w:rPr>
        <w:t>项目</w:t>
      </w:r>
      <w:bookmarkEnd w:id="10"/>
      <w:bookmarkEnd w:id="11"/>
    </w:p>
    <w:p>
      <w:pPr>
        <w:spacing w:line="560" w:lineRule="exact"/>
        <w:jc w:val="center"/>
        <w:outlineLvl w:val="9"/>
        <w:rPr>
          <w:rFonts w:hint="eastAsia" w:ascii="方正小标宋_GBK" w:hAnsi="方正小标宋_GBK" w:eastAsia="方正小标宋_GBK" w:cs="方正小标宋_GBK"/>
          <w:b w:val="0"/>
          <w:bCs w:val="0"/>
          <w:kern w:val="0"/>
          <w:sz w:val="36"/>
          <w:szCs w:val="36"/>
          <w:lang w:val="en-US" w:eastAsia="zh-CN"/>
        </w:rPr>
      </w:pPr>
      <w:bookmarkStart w:id="12" w:name="_Toc24628"/>
      <w:bookmarkStart w:id="13" w:name="_Toc29233"/>
      <w:bookmarkStart w:id="14" w:name="_Toc31711"/>
      <w:r>
        <w:rPr>
          <w:rFonts w:hint="eastAsia" w:ascii="方正小标宋_GBK" w:hAnsi="方正小标宋_GBK" w:eastAsia="方正小标宋_GBK" w:cs="方正小标宋_GBK"/>
          <w:b w:val="0"/>
          <w:bCs w:val="0"/>
          <w:kern w:val="0"/>
          <w:sz w:val="36"/>
          <w:szCs w:val="36"/>
          <w:lang w:val="en-US" w:eastAsia="zh-CN"/>
        </w:rPr>
        <w:t>绩效评价报告</w:t>
      </w:r>
      <w:bookmarkEnd w:id="12"/>
      <w:bookmarkEnd w:id="13"/>
      <w:bookmarkEnd w:id="14"/>
    </w:p>
    <w:p>
      <w:pPr>
        <w:spacing w:line="560" w:lineRule="exact"/>
        <w:jc w:val="center"/>
        <w:outlineLvl w:val="9"/>
        <w:rPr>
          <w:rFonts w:hint="eastAsia" w:ascii="楷体" w:hAnsi="楷体" w:eastAsia="楷体" w:cs="楷体"/>
          <w:szCs w:val="32"/>
        </w:rPr>
      </w:pPr>
      <w:bookmarkStart w:id="15" w:name="_Toc3567"/>
      <w:bookmarkStart w:id="16" w:name="_Toc6958"/>
      <w:bookmarkStart w:id="17" w:name="_Toc31958"/>
      <w:bookmarkStart w:id="18" w:name="_Toc14983"/>
      <w:bookmarkStart w:id="19" w:name="_Toc2105"/>
      <w:bookmarkStart w:id="20" w:name="_Toc15281"/>
      <w:bookmarkStart w:id="21" w:name="_Toc1615"/>
      <w:bookmarkStart w:id="22" w:name="_Toc14804"/>
      <w:bookmarkStart w:id="23" w:name="_Toc4004"/>
      <w:bookmarkStart w:id="24" w:name="_Toc23908"/>
      <w:bookmarkStart w:id="25" w:name="_Toc15748"/>
      <w:bookmarkStart w:id="26" w:name="_Toc6385"/>
      <w:bookmarkStart w:id="27" w:name="_Toc1735"/>
      <w:r>
        <w:rPr>
          <w:rFonts w:hint="eastAsia" w:ascii="楷体" w:hAnsi="楷体" w:eastAsia="楷体" w:cs="楷体"/>
          <w:szCs w:val="32"/>
        </w:rPr>
        <w:t>（专业版）</w:t>
      </w:r>
      <w:bookmarkEnd w:id="15"/>
      <w:bookmarkEnd w:id="16"/>
      <w:bookmarkEnd w:id="17"/>
      <w:bookmarkEnd w:id="18"/>
      <w:bookmarkEnd w:id="19"/>
      <w:bookmarkEnd w:id="20"/>
      <w:bookmarkEnd w:id="21"/>
      <w:bookmarkEnd w:id="22"/>
      <w:bookmarkEnd w:id="23"/>
      <w:bookmarkEnd w:id="24"/>
      <w:bookmarkEnd w:id="25"/>
      <w:bookmarkEnd w:id="26"/>
      <w:bookmarkEnd w:id="27"/>
    </w:p>
    <w:p>
      <w:pPr>
        <w:pStyle w:val="3"/>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28" w:name="_Toc40281667"/>
      <w:bookmarkStart w:id="29" w:name="_Toc15049"/>
      <w:bookmarkStart w:id="30" w:name="_Toc17052"/>
      <w:bookmarkStart w:id="31" w:name="_Toc10825"/>
      <w:r>
        <w:rPr>
          <w:rFonts w:hint="eastAsia"/>
        </w:rPr>
        <w:t>1</w:t>
      </w:r>
      <w:bookmarkEnd w:id="28"/>
      <w:r>
        <w:rPr>
          <w:rFonts w:hint="eastAsia"/>
        </w:rPr>
        <w:t xml:space="preserve"> 评价结论</w:t>
      </w:r>
      <w:bookmarkEnd w:id="29"/>
      <w:bookmarkEnd w:id="30"/>
      <w:bookmarkEnd w:id="31"/>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32" w:name="_Toc40281668"/>
      <w:bookmarkStart w:id="33" w:name="_Toc17707"/>
      <w:bookmarkStart w:id="34" w:name="_Toc25184"/>
      <w:bookmarkStart w:id="35" w:name="_Toc3527"/>
      <w:r>
        <w:rPr>
          <w:rFonts w:hint="eastAsia"/>
        </w:rPr>
        <w:t>1.1</w:t>
      </w:r>
      <w:bookmarkEnd w:id="32"/>
      <w:r>
        <w:rPr>
          <w:rFonts w:hint="eastAsia"/>
        </w:rPr>
        <w:t>评价分数和等级</w:t>
      </w:r>
      <w:bookmarkEnd w:id="33"/>
      <w:bookmarkEnd w:id="34"/>
      <w:bookmarkEnd w:id="35"/>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通城县</w:t>
      </w:r>
      <w:r>
        <w:rPr>
          <w:rFonts w:hint="eastAsia" w:ascii="仿宋" w:hAnsi="仿宋" w:eastAsia="仿宋" w:cs="仿宋"/>
          <w:sz w:val="32"/>
          <w:szCs w:val="32"/>
          <w:lang w:val="en-US" w:eastAsia="zh-CN"/>
        </w:rPr>
        <w:t>市场监督管理局</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食品药品检测</w:t>
      </w:r>
      <w:r>
        <w:rPr>
          <w:rFonts w:hint="eastAsia" w:ascii="仿宋" w:hAnsi="仿宋" w:eastAsia="仿宋" w:cs="仿宋"/>
          <w:sz w:val="32"/>
          <w:szCs w:val="32"/>
        </w:rPr>
        <w:t>项目评价得分</w:t>
      </w:r>
      <w:r>
        <w:rPr>
          <w:rFonts w:hint="eastAsia" w:ascii="仿宋" w:hAnsi="仿宋" w:eastAsia="仿宋" w:cs="仿宋"/>
          <w:sz w:val="32"/>
          <w:szCs w:val="32"/>
          <w:highlight w:val="none"/>
          <w:lang w:val="en-US" w:eastAsia="zh-CN"/>
        </w:rPr>
        <w:t>88.43</w:t>
      </w:r>
      <w:r>
        <w:rPr>
          <w:rFonts w:hint="eastAsia" w:ascii="仿宋" w:hAnsi="仿宋" w:eastAsia="仿宋" w:cs="仿宋"/>
          <w:sz w:val="32"/>
          <w:szCs w:val="32"/>
        </w:rPr>
        <w:t>分，评价等级为</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良</w:t>
      </w:r>
      <w:r>
        <w:rPr>
          <w:rFonts w:hint="eastAsia" w:ascii="仿宋" w:hAnsi="仿宋" w:eastAsia="仿宋" w:cs="仿宋"/>
          <w:sz w:val="32"/>
          <w:szCs w:val="32"/>
          <w:highlight w:val="none"/>
        </w:rPr>
        <w:t>”</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评分表如下：</w:t>
      </w:r>
    </w:p>
    <w:tbl>
      <w:tblPr>
        <w:tblStyle w:val="14"/>
        <w:tblW w:w="4997"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29"/>
        <w:gridCol w:w="1395"/>
        <w:gridCol w:w="4302"/>
        <w:gridCol w:w="998"/>
        <w:gridCol w:w="8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tblHeader/>
        </w:trPr>
        <w:tc>
          <w:tcPr>
            <w:tcW w:w="844"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一级指标</w:t>
            </w:r>
          </w:p>
        </w:tc>
        <w:tc>
          <w:tcPr>
            <w:tcW w:w="770"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二级指标</w:t>
            </w:r>
          </w:p>
        </w:tc>
        <w:tc>
          <w:tcPr>
            <w:tcW w:w="2374"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三级指标</w:t>
            </w:r>
          </w:p>
        </w:tc>
        <w:tc>
          <w:tcPr>
            <w:tcW w:w="551"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分值</w:t>
            </w:r>
          </w:p>
        </w:tc>
        <w:tc>
          <w:tcPr>
            <w:tcW w:w="459" w:type="pct"/>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决策（</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　</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　</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立项依据充分性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立项程序规范性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绩效目标　</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绩效目标合理性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FF"/>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FF"/>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绩效指标明确性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资金投入</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预算编制科学性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资金分配合理性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p>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过程（2</w:t>
            </w:r>
            <w:r>
              <w:rPr>
                <w:rFonts w:hint="eastAsia" w:ascii="仿宋" w:hAnsi="仿宋" w:eastAsia="仿宋" w:cs="仿宋"/>
                <w:color w:val="000000"/>
                <w:kern w:val="0"/>
                <w:sz w:val="24"/>
                <w:szCs w:val="24"/>
                <w:lang w:val="en-US" w:eastAsia="zh-CN"/>
              </w:rPr>
              <w:t>0</w:t>
            </w:r>
            <w:r>
              <w:rPr>
                <w:rFonts w:hint="eastAsia" w:ascii="仿宋" w:hAnsi="仿宋" w:eastAsia="仿宋" w:cs="仿宋"/>
                <w:color w:val="000000"/>
                <w:kern w:val="0"/>
                <w:sz w:val="24"/>
                <w:szCs w:val="24"/>
              </w:rPr>
              <w:t>分）</w:t>
            </w:r>
          </w:p>
          <w:p>
            <w:pPr>
              <w:widowControl/>
              <w:jc w:val="center"/>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资金管理</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资金到位率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3.93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预算执行率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资金使用合规性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844" w:type="pct"/>
            <w:vMerge w:val="continue"/>
            <w:shd w:val="clear" w:color="auto" w:fill="auto"/>
            <w:noWrap w:val="0"/>
            <w:vAlign w:val="center"/>
          </w:tcPr>
          <w:p>
            <w:pPr>
              <w:widowControl/>
              <w:jc w:val="center"/>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组织实施</w:t>
            </w: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管理制度健全性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制度执行有效性</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4</w:t>
            </w:r>
          </w:p>
        </w:tc>
        <w:tc>
          <w:tcPr>
            <w:tcW w:w="459"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w:t>
            </w: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0分）</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产出数量</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食品药品检测批次</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工业产品检测批次</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7</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7.00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产出质量</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不合格食品及工业产品核查处置率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重大违法案件查办率</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抽检信息公开情况</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10</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000000" w:fill="FFFFFF"/>
            <w:noWrap w:val="0"/>
            <w:vAlign w:val="center"/>
          </w:tcPr>
          <w:p>
            <w:pPr>
              <w:widowControl/>
              <w:jc w:val="center"/>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出具产品检测报告内容披露明细程度</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产出时效</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yellow"/>
              </w:rPr>
            </w:pPr>
            <w:r>
              <w:rPr>
                <w:rFonts w:hint="eastAsia" w:ascii="仿宋" w:hAnsi="仿宋" w:eastAsia="仿宋" w:cs="仿宋"/>
                <w:i w:val="0"/>
                <w:iCs w:val="0"/>
                <w:kern w:val="0"/>
                <w:sz w:val="24"/>
                <w:szCs w:val="24"/>
                <w:highlight w:val="none"/>
              </w:rPr>
              <w:t>项目按期完成情况</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效益（</w:t>
            </w:r>
            <w:r>
              <w:rPr>
                <w:rFonts w:hint="eastAsia" w:ascii="仿宋" w:hAnsi="仿宋" w:eastAsia="仿宋" w:cs="仿宋"/>
                <w:color w:val="000000"/>
                <w:kern w:val="0"/>
                <w:sz w:val="24"/>
                <w:szCs w:val="24"/>
                <w:lang w:val="en-US" w:eastAsia="zh-CN"/>
              </w:rPr>
              <w:t>2</w:t>
            </w:r>
            <w:r>
              <w:rPr>
                <w:rFonts w:hint="eastAsia" w:ascii="仿宋" w:hAnsi="仿宋" w:eastAsia="仿宋" w:cs="仿宋"/>
                <w:color w:val="000000"/>
                <w:kern w:val="0"/>
                <w:sz w:val="24"/>
                <w:szCs w:val="24"/>
              </w:rPr>
              <w:t>0分）　</w:t>
            </w:r>
          </w:p>
        </w:tc>
        <w:tc>
          <w:tcPr>
            <w:tcW w:w="770" w:type="pct"/>
            <w:vMerge w:val="restart"/>
            <w:shd w:val="clear" w:color="000000" w:fill="FFFFFF"/>
            <w:noWrap w:val="0"/>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社会效益</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提升全县企业产品质量、整合资源</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提升全县检验检测水平及能力，大力推进质量建设工作</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5</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844" w:type="pct"/>
            <w:vMerge w:val="continue"/>
            <w:shd w:val="clear" w:color="auto" w:fill="auto"/>
            <w:noWrap w:val="0"/>
            <w:vAlign w:val="center"/>
          </w:tcPr>
          <w:p>
            <w:pPr>
              <w:widowControl/>
              <w:jc w:val="left"/>
              <w:rPr>
                <w:rFonts w:hint="eastAsia" w:ascii="仿宋" w:hAnsi="仿宋" w:eastAsia="仿宋" w:cs="仿宋"/>
                <w:color w:val="000000"/>
                <w:kern w:val="0"/>
                <w:sz w:val="24"/>
                <w:szCs w:val="24"/>
              </w:rPr>
            </w:pPr>
          </w:p>
        </w:tc>
        <w:tc>
          <w:tcPr>
            <w:tcW w:w="770" w:type="pct"/>
            <w:shd w:val="clear" w:color="auto" w:fill="auto"/>
            <w:noWrap w:val="0"/>
            <w:vAlign w:val="center"/>
          </w:tcPr>
          <w:p>
            <w:pPr>
              <w:widowControl/>
              <w:jc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满意度</w:t>
            </w:r>
          </w:p>
        </w:tc>
        <w:tc>
          <w:tcPr>
            <w:tcW w:w="2374" w:type="pct"/>
            <w:shd w:val="clear" w:color="000000" w:fill="FFFFFF"/>
            <w:noWrap w:val="0"/>
            <w:vAlign w:val="center"/>
          </w:tcPr>
          <w:p>
            <w:pPr>
              <w:widowControl/>
              <w:jc w:val="center"/>
              <w:rPr>
                <w:rFonts w:hint="eastAsia" w:ascii="仿宋" w:hAnsi="仿宋" w:eastAsia="仿宋" w:cs="仿宋"/>
                <w:kern w:val="0"/>
                <w:sz w:val="24"/>
                <w:szCs w:val="24"/>
                <w:highlight w:val="yellow"/>
              </w:rPr>
            </w:pPr>
            <w:r>
              <w:rPr>
                <w:rFonts w:hint="eastAsia" w:ascii="仿宋" w:hAnsi="仿宋" w:eastAsia="仿宋" w:cs="仿宋"/>
                <w:kern w:val="0"/>
                <w:sz w:val="24"/>
                <w:szCs w:val="24"/>
                <w:highlight w:val="none"/>
              </w:rPr>
              <w:t>群众满意度</w:t>
            </w:r>
          </w:p>
        </w:tc>
        <w:tc>
          <w:tcPr>
            <w:tcW w:w="551" w:type="pct"/>
            <w:shd w:val="clear" w:color="000000" w:fill="FFFFFF"/>
            <w:noWrap w:val="0"/>
            <w:vAlign w:val="center"/>
          </w:tcPr>
          <w:p>
            <w:pPr>
              <w:widowControl/>
              <w:jc w:val="center"/>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rPr>
              <w:t>10</w:t>
            </w:r>
          </w:p>
        </w:tc>
        <w:tc>
          <w:tcPr>
            <w:tcW w:w="459" w:type="pct"/>
            <w:shd w:val="clear" w:color="000000" w:fill="FFFFFF"/>
            <w:noWrap w:val="0"/>
            <w:vAlign w:val="center"/>
          </w:tcPr>
          <w:p>
            <w:pPr>
              <w:widowControl/>
              <w:jc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3988" w:type="pct"/>
            <w:gridSpan w:val="3"/>
            <w:shd w:val="clear" w:color="000000" w:fill="FFFFFF"/>
            <w:noWrap w:val="0"/>
            <w:vAlign w:val="center"/>
          </w:tcPr>
          <w:p>
            <w:pPr>
              <w:widowControl/>
              <w:jc w:val="center"/>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综合得分</w:t>
            </w:r>
          </w:p>
        </w:tc>
        <w:tc>
          <w:tcPr>
            <w:tcW w:w="551" w:type="pct"/>
            <w:shd w:val="clear" w:color="000000" w:fill="FFFFFF"/>
            <w:noWrap w:val="0"/>
            <w:vAlign w:val="center"/>
          </w:tcPr>
          <w:p>
            <w:pPr>
              <w:widowControl/>
              <w:jc w:val="center"/>
              <w:rPr>
                <w:rFonts w:hint="default"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rPr>
              <w:t>100</w:t>
            </w:r>
          </w:p>
        </w:tc>
        <w:tc>
          <w:tcPr>
            <w:tcW w:w="459" w:type="pct"/>
            <w:shd w:val="clear" w:color="000000" w:fill="FFFFFF"/>
            <w:noWrap w:val="0"/>
            <w:vAlign w:val="center"/>
          </w:tcPr>
          <w:p>
            <w:pPr>
              <w:widowControl/>
              <w:jc w:val="center"/>
              <w:rPr>
                <w:rFonts w:hint="default" w:ascii="仿宋" w:hAnsi="仿宋" w:eastAsia="仿宋" w:cs="仿宋"/>
                <w:b/>
                <w:bCs/>
                <w:color w:val="000000"/>
                <w:kern w:val="0"/>
                <w:sz w:val="24"/>
                <w:szCs w:val="24"/>
                <w:lang w:val="en-US" w:eastAsia="zh-CN"/>
              </w:rPr>
            </w:pPr>
            <w:r>
              <w:rPr>
                <w:rFonts w:hint="eastAsia" w:ascii="仿宋" w:hAnsi="仿宋" w:eastAsia="仿宋" w:cs="仿宋"/>
                <w:b/>
                <w:bCs/>
                <w:color w:val="000000"/>
                <w:kern w:val="0"/>
                <w:sz w:val="24"/>
                <w:szCs w:val="24"/>
                <w:lang w:val="en-US" w:eastAsia="zh-CN"/>
              </w:rPr>
              <w:t>88.43</w:t>
            </w:r>
          </w:p>
        </w:tc>
      </w:tr>
    </w:tbl>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6" w:name="_Toc19364"/>
      <w:bookmarkStart w:id="37" w:name="_Toc16435"/>
      <w:bookmarkStart w:id="38" w:name="_Toc6261"/>
      <w:r>
        <w:rPr>
          <w:rFonts w:hint="eastAsia"/>
        </w:rPr>
        <w:t>1.2绩效目标完成情况分析</w:t>
      </w:r>
      <w:bookmarkEnd w:id="36"/>
      <w:bookmarkEnd w:id="37"/>
      <w:bookmarkEnd w:id="38"/>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39" w:name="_Toc10158"/>
      <w:bookmarkStart w:id="40" w:name="_Toc32108"/>
      <w:bookmarkStart w:id="41" w:name="_Toc30752"/>
      <w:r>
        <w:rPr>
          <w:rFonts w:hint="eastAsia"/>
        </w:rPr>
        <w:t>1.2.1决策。权重</w:t>
      </w:r>
      <w:r>
        <w:rPr>
          <w:rFonts w:hint="eastAsia"/>
          <w:lang w:val="en-US" w:eastAsia="zh-CN"/>
        </w:rPr>
        <w:t>20</w:t>
      </w:r>
      <w:r>
        <w:rPr>
          <w:rFonts w:hint="eastAsia"/>
        </w:rPr>
        <w:t>分，得分</w:t>
      </w:r>
      <w:r>
        <w:rPr>
          <w:rFonts w:hint="eastAsia"/>
          <w:lang w:val="en-US" w:eastAsia="zh-CN"/>
        </w:rPr>
        <w:t>19</w:t>
      </w:r>
      <w:r>
        <w:rPr>
          <w:rFonts w:hint="eastAsia"/>
        </w:rPr>
        <w:t>分，扣</w:t>
      </w:r>
      <w:r>
        <w:rPr>
          <w:rFonts w:hint="eastAsia"/>
          <w:lang w:val="en-US" w:eastAsia="zh-CN"/>
        </w:rPr>
        <w:t>1</w:t>
      </w:r>
      <w:r>
        <w:rPr>
          <w:rFonts w:hint="eastAsia"/>
        </w:rPr>
        <w:t>分</w:t>
      </w:r>
      <w:bookmarkEnd w:id="39"/>
      <w:bookmarkEnd w:id="40"/>
      <w:bookmarkEnd w:id="41"/>
    </w:p>
    <w:p>
      <w:pPr>
        <w:spacing w:line="560" w:lineRule="exact"/>
        <w:ind w:firstLine="640" w:firstLineChars="200"/>
        <w:rPr>
          <w:rFonts w:hint="eastAsia" w:ascii="仿宋" w:hAnsi="仿宋" w:eastAsia="仿宋" w:cs="仿宋"/>
          <w:highlight w:val="none"/>
          <w:lang w:val="en-US" w:eastAsia="zh-CN"/>
        </w:rPr>
      </w:pPr>
      <w:r>
        <w:rPr>
          <w:rFonts w:hint="eastAsia" w:ascii="仿宋" w:hAnsi="仿宋" w:eastAsia="仿宋" w:cs="仿宋"/>
          <w:highlight w:val="none"/>
        </w:rPr>
        <w:t>绩效指标明确性扣</w:t>
      </w:r>
      <w:r>
        <w:rPr>
          <w:rFonts w:hint="eastAsia" w:ascii="仿宋" w:hAnsi="仿宋" w:eastAsia="仿宋" w:cs="仿宋"/>
          <w:highlight w:val="none"/>
          <w:lang w:val="en-US" w:eastAsia="zh-CN"/>
        </w:rPr>
        <w:t>1</w:t>
      </w:r>
      <w:r>
        <w:rPr>
          <w:rFonts w:hint="eastAsia" w:ascii="仿宋" w:hAnsi="仿宋" w:eastAsia="仿宋" w:cs="仿宋"/>
          <w:highlight w:val="none"/>
        </w:rPr>
        <w:t>分</w:t>
      </w:r>
      <w:r>
        <w:rPr>
          <w:rFonts w:hint="eastAsia" w:ascii="仿宋" w:hAnsi="仿宋" w:eastAsia="仿宋" w:cs="仿宋"/>
          <w:highlight w:val="none"/>
          <w:lang w:eastAsia="zh-CN"/>
        </w:rPr>
        <w:t>。</w:t>
      </w:r>
      <w:r>
        <w:rPr>
          <w:rFonts w:hint="eastAsia" w:ascii="仿宋" w:hAnsi="仿宋" w:eastAsia="仿宋" w:cs="仿宋"/>
          <w:highlight w:val="none"/>
        </w:rPr>
        <w:t>绩效指标的完整性和科学性不足，</w:t>
      </w:r>
      <w:r>
        <w:rPr>
          <w:rFonts w:hint="eastAsia" w:ascii="仿宋" w:hAnsi="仿宋" w:eastAsia="仿宋" w:cs="仿宋"/>
          <w:highlight w:val="none"/>
          <w:lang w:val="en-US" w:eastAsia="zh-CN"/>
        </w:rPr>
        <w:t>产出指标当中的产出质量和效益指标的目标设置不够清晰、细化，可衡量程度不高。</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42" w:name="_Toc9916"/>
      <w:bookmarkStart w:id="43" w:name="_Toc1077"/>
      <w:bookmarkStart w:id="44" w:name="_Toc19768"/>
      <w:r>
        <w:rPr>
          <w:rFonts w:hint="eastAsia"/>
        </w:rPr>
        <w:t>1.2.2过程。权重</w:t>
      </w:r>
      <w:r>
        <w:rPr>
          <w:rFonts w:hint="eastAsia"/>
          <w:lang w:val="en-US" w:eastAsia="zh-CN"/>
        </w:rPr>
        <w:t>20</w:t>
      </w:r>
      <w:r>
        <w:rPr>
          <w:rFonts w:hint="eastAsia"/>
        </w:rPr>
        <w:t>分</w:t>
      </w:r>
      <w:bookmarkEnd w:id="42"/>
      <w:r>
        <w:rPr>
          <w:rFonts w:hint="eastAsia"/>
        </w:rPr>
        <w:t>，得分</w:t>
      </w:r>
      <w:r>
        <w:rPr>
          <w:rFonts w:hint="eastAsia"/>
          <w:lang w:val="en-US" w:eastAsia="zh-CN"/>
        </w:rPr>
        <w:t>19.93</w:t>
      </w:r>
      <w:r>
        <w:rPr>
          <w:rFonts w:hint="eastAsia"/>
        </w:rPr>
        <w:t>分，扣</w:t>
      </w:r>
      <w:r>
        <w:rPr>
          <w:rFonts w:hint="eastAsia"/>
          <w:lang w:val="en-US" w:eastAsia="zh-CN"/>
        </w:rPr>
        <w:t>0.07</w:t>
      </w:r>
      <w:r>
        <w:rPr>
          <w:rFonts w:hint="eastAsia"/>
        </w:rPr>
        <w:t>分</w:t>
      </w:r>
      <w:bookmarkEnd w:id="43"/>
      <w:bookmarkEnd w:id="4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资金到位率扣0.07分。主要扣分原因是：2022年食品药品检测预算资金230.00万元，实际拨付到位资金226.00万元。</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45" w:name="_Toc8194"/>
      <w:bookmarkStart w:id="46" w:name="_Toc12188"/>
      <w:r>
        <w:rPr>
          <w:rFonts w:hint="eastAsia"/>
        </w:rPr>
        <w:t>1.2.3产出。权重</w:t>
      </w:r>
      <w:r>
        <w:rPr>
          <w:rFonts w:hint="eastAsia"/>
          <w:lang w:val="en-US" w:eastAsia="zh-CN"/>
        </w:rPr>
        <w:t>40</w:t>
      </w:r>
      <w:r>
        <w:rPr>
          <w:rFonts w:hint="eastAsia"/>
        </w:rPr>
        <w:t>分</w:t>
      </w:r>
      <w:bookmarkEnd w:id="45"/>
      <w:r>
        <w:rPr>
          <w:rFonts w:hint="eastAsia"/>
        </w:rPr>
        <w:t>，得分</w:t>
      </w:r>
      <w:r>
        <w:rPr>
          <w:rFonts w:hint="eastAsia"/>
          <w:lang w:val="en-US" w:eastAsia="zh-CN"/>
        </w:rPr>
        <w:t>29.5</w:t>
      </w:r>
      <w:r>
        <w:rPr>
          <w:rFonts w:hint="eastAsia"/>
        </w:rPr>
        <w:t>分，扣</w:t>
      </w:r>
      <w:r>
        <w:rPr>
          <w:rFonts w:hint="eastAsia"/>
          <w:lang w:val="en-US" w:eastAsia="zh-CN"/>
        </w:rPr>
        <w:t>10.5</w:t>
      </w:r>
      <w:r>
        <w:rPr>
          <w:rFonts w:hint="eastAsia"/>
        </w:rPr>
        <w:t>分</w:t>
      </w:r>
      <w:bookmarkEnd w:id="46"/>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产出质量扣</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分</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主要扣分原因是</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根据现场核查</w:t>
      </w:r>
      <w:r>
        <w:rPr>
          <w:rFonts w:hint="eastAsia" w:ascii="仿宋" w:hAnsi="仿宋" w:eastAsia="仿宋" w:cs="仿宋"/>
          <w:sz w:val="32"/>
          <w:szCs w:val="32"/>
          <w:highlight w:val="none"/>
        </w:rPr>
        <w:t>食品抽检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w:t>
      </w:r>
      <w:r>
        <w:rPr>
          <w:rFonts w:hint="eastAsia" w:ascii="仿宋" w:hAnsi="仿宋" w:eastAsia="仿宋" w:cs="仿宋"/>
          <w:sz w:val="32"/>
          <w:szCs w:val="32"/>
          <w:highlight w:val="none"/>
          <w:lang w:val="en-US" w:eastAsia="zh-CN"/>
        </w:rPr>
        <w:t>86</w:t>
      </w:r>
      <w:r>
        <w:rPr>
          <w:rFonts w:hint="eastAsia" w:ascii="仿宋" w:hAnsi="仿宋" w:eastAsia="仿宋" w:cs="仿宋"/>
          <w:sz w:val="32"/>
          <w:szCs w:val="32"/>
          <w:highlight w:val="none"/>
        </w:rPr>
        <w:t>个，工业产品抽检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公开115个，合计抽检</w:t>
      </w:r>
      <w:r>
        <w:rPr>
          <w:rFonts w:hint="eastAsia" w:ascii="仿宋" w:hAnsi="仿宋" w:eastAsia="仿宋" w:cs="仿宋"/>
          <w:sz w:val="32"/>
          <w:szCs w:val="32"/>
          <w:highlight w:val="none"/>
          <w:lang w:val="en-US" w:eastAsia="zh-CN"/>
        </w:rPr>
        <w:t>信息</w:t>
      </w:r>
      <w:r>
        <w:rPr>
          <w:rFonts w:hint="eastAsia" w:ascii="仿宋" w:hAnsi="仿宋" w:eastAsia="仿宋" w:cs="仿宋"/>
          <w:sz w:val="32"/>
          <w:szCs w:val="32"/>
          <w:highlight w:val="none"/>
        </w:rPr>
        <w:t>公开1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7</w:t>
      </w:r>
      <w:r>
        <w:rPr>
          <w:rFonts w:hint="eastAsia" w:ascii="仿宋" w:hAnsi="仿宋" w:eastAsia="仿宋" w:cs="仿宋"/>
          <w:sz w:val="32"/>
          <w:szCs w:val="32"/>
          <w:highlight w:val="none"/>
          <w:lang w:val="en-US" w:eastAsia="zh-CN"/>
        </w:rPr>
        <w:t>01</w:t>
      </w:r>
      <w:r>
        <w:rPr>
          <w:rFonts w:hint="eastAsia" w:ascii="仿宋" w:hAnsi="仿宋" w:eastAsia="仿宋" w:cs="仿宋"/>
          <w:sz w:val="32"/>
          <w:szCs w:val="32"/>
          <w:highlight w:val="none"/>
        </w:rPr>
        <w:t>个，该项目实际抽检1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99</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个</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抽检信息公开率</w:t>
      </w:r>
      <w:r>
        <w:rPr>
          <w:rFonts w:hint="eastAsia" w:ascii="仿宋" w:hAnsi="仿宋" w:eastAsia="仿宋" w:cs="仿宋"/>
          <w:sz w:val="32"/>
          <w:szCs w:val="32"/>
          <w:highlight w:val="none"/>
          <w:lang w:val="en-US" w:eastAsia="zh-CN"/>
        </w:rPr>
        <w:t>为8</w:t>
      </w:r>
      <w:r>
        <w:rPr>
          <w:rFonts w:hint="eastAsia" w:ascii="仿宋" w:hAnsi="仿宋" w:eastAsia="仿宋" w:cs="仿宋"/>
          <w:sz w:val="32"/>
          <w:szCs w:val="32"/>
          <w:highlight w:val="none"/>
        </w:rPr>
        <w:t>5.</w:t>
      </w:r>
      <w:r>
        <w:rPr>
          <w:rFonts w:hint="eastAsia" w:ascii="仿宋" w:hAnsi="仿宋" w:eastAsia="仿宋" w:cs="仿宋"/>
          <w:sz w:val="32"/>
          <w:szCs w:val="32"/>
          <w:highlight w:val="none"/>
          <w:lang w:val="en-US" w:eastAsia="zh-CN"/>
        </w:rPr>
        <w:t>48</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未达到100%</w:t>
      </w:r>
      <w:r>
        <w:rPr>
          <w:rFonts w:hint="eastAsia" w:ascii="仿宋" w:hAnsi="仿宋" w:eastAsia="仿宋" w:cs="仿宋"/>
          <w:sz w:val="32"/>
          <w:szCs w:val="32"/>
          <w:highlight w:val="none"/>
          <w:lang w:eastAsia="zh-CN"/>
        </w:rPr>
        <w:t>；</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产出时效扣0.5分。主要扣分原因是：根据</w:t>
      </w:r>
      <w:r>
        <w:rPr>
          <w:rFonts w:hint="eastAsia" w:ascii="仿宋" w:hAnsi="仿宋" w:eastAsia="仿宋" w:cs="仿宋"/>
          <w:sz w:val="32"/>
          <w:szCs w:val="32"/>
          <w:lang w:val="en-US" w:eastAsia="zh-CN"/>
        </w:rPr>
        <w:t>通城县市场监督管理局《关于开展2022年度产品质量监督抽查工作的通知》规定，柴油车尾气处理液车用尿素液（AUS32）项目检查应于2022年11月30日之前完成，实际完成时间在2022年12月8日，抽检工作完成时间滞后。</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lang w:eastAsia="zh-CN"/>
        </w:rPr>
      </w:pPr>
      <w:bookmarkStart w:id="47" w:name="_Toc276"/>
      <w:bookmarkStart w:id="48" w:name="_Toc16556"/>
      <w:bookmarkStart w:id="49" w:name="_Toc27037"/>
      <w:r>
        <w:rPr>
          <w:rFonts w:hint="eastAsia"/>
        </w:rPr>
        <w:t>1.2.4效果。权重</w:t>
      </w:r>
      <w:r>
        <w:rPr>
          <w:rFonts w:hint="eastAsia"/>
          <w:lang w:val="en-US" w:eastAsia="zh-CN"/>
        </w:rPr>
        <w:t>20</w:t>
      </w:r>
      <w:r>
        <w:rPr>
          <w:rFonts w:hint="eastAsia"/>
        </w:rPr>
        <w:t>分，得分</w:t>
      </w:r>
      <w:r>
        <w:rPr>
          <w:rFonts w:hint="eastAsia"/>
          <w:lang w:val="en-US" w:eastAsia="zh-CN"/>
        </w:rPr>
        <w:t>20</w:t>
      </w:r>
      <w:r>
        <w:rPr>
          <w:rFonts w:hint="eastAsia"/>
        </w:rPr>
        <w:t>分</w:t>
      </w:r>
      <w:bookmarkEnd w:id="47"/>
      <w:r>
        <w:rPr>
          <w:rFonts w:hint="eastAsia"/>
        </w:rPr>
        <w:t>，</w:t>
      </w:r>
      <w:bookmarkEnd w:id="48"/>
      <w:r>
        <w:rPr>
          <w:rFonts w:hint="eastAsia"/>
          <w:lang w:val="en-US" w:eastAsia="zh-CN"/>
        </w:rPr>
        <w:t>未扣分</w:t>
      </w:r>
      <w:bookmarkEnd w:id="4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 w:hAnsi="仿宋" w:eastAsia="仿宋" w:cs="仿宋"/>
          <w:sz w:val="32"/>
          <w:szCs w:val="32"/>
          <w:highlight w:val="none"/>
          <w:lang w:val="en-US" w:eastAsia="zh-CN"/>
        </w:rPr>
        <w:t>市场监督管理局食品药品检测</w:t>
      </w:r>
      <w:r>
        <w:rPr>
          <w:rFonts w:hint="eastAsia" w:ascii="仿宋" w:hAnsi="仿宋" w:eastAsia="仿宋" w:cs="仿宋"/>
          <w:sz w:val="32"/>
          <w:szCs w:val="32"/>
          <w:highlight w:val="none"/>
        </w:rPr>
        <w:t>项</w:t>
      </w:r>
      <w:r>
        <w:rPr>
          <w:rFonts w:hint="eastAsia" w:ascii="仿宋" w:hAnsi="仿宋" w:eastAsia="仿宋" w:cs="仿宋"/>
          <w:sz w:val="32"/>
          <w:szCs w:val="32"/>
          <w:highlight w:val="none"/>
          <w:lang w:val="en-US" w:eastAsia="zh-CN"/>
        </w:rPr>
        <w:t>质量能够提升全县企业产品质量、整合资源，能够提升全县检验检测水平及能力，大力推进质量建设工作，社会效益达到预期，调查对象对本项目满意度较高</w:t>
      </w:r>
      <w:r>
        <w:rPr>
          <w:rFonts w:hint="eastAsia" w:ascii="仿宋" w:hAnsi="仿宋" w:eastAsia="仿宋" w:cs="仿宋"/>
          <w:szCs w:val="32"/>
          <w:highlight w:val="none"/>
        </w:rPr>
        <w:t>。</w:t>
      </w: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highlight w:val="none"/>
        </w:rPr>
      </w:pPr>
      <w:bookmarkStart w:id="50" w:name="_Toc40281670"/>
      <w:bookmarkStart w:id="51" w:name="_Toc9887"/>
      <w:bookmarkStart w:id="52" w:name="_Toc13382"/>
      <w:bookmarkStart w:id="53" w:name="_Toc17795"/>
      <w:r>
        <w:rPr>
          <w:rFonts w:hint="eastAsia"/>
          <w:highlight w:val="none"/>
        </w:rPr>
        <w:t>1.3存在的问题</w:t>
      </w:r>
      <w:bookmarkEnd w:id="50"/>
      <w:r>
        <w:rPr>
          <w:rFonts w:hint="eastAsia"/>
          <w:highlight w:val="none"/>
        </w:rPr>
        <w:t>和原因</w:t>
      </w:r>
      <w:bookmarkEnd w:id="51"/>
      <w:bookmarkEnd w:id="52"/>
      <w:bookmarkEnd w:id="53"/>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4" w:name="_Toc19393"/>
      <w:bookmarkStart w:id="55" w:name="_Toc3437"/>
      <w:bookmarkStart w:id="56" w:name="_Toc19495"/>
      <w:r>
        <w:rPr>
          <w:rFonts w:hint="eastAsia"/>
        </w:rPr>
        <w:t>1.3.1以前年度结果应用的情况</w:t>
      </w:r>
      <w:bookmarkEnd w:id="54"/>
      <w:bookmarkEnd w:id="55"/>
      <w:bookmarkEnd w:id="56"/>
    </w:p>
    <w:p>
      <w:pPr>
        <w:spacing w:line="560" w:lineRule="exact"/>
        <w:ind w:firstLine="640" w:firstLineChars="200"/>
        <w:rPr>
          <w:rFonts w:hint="eastAsia" w:ascii="仿宋_GB2312" w:hAnsi="仿宋_GB2312" w:eastAsia="仿宋_GB2312" w:cs="仿宋_GB2312"/>
          <w:highlight w:val="none"/>
        </w:rPr>
      </w:pPr>
      <w:r>
        <w:rPr>
          <w:rFonts w:hint="eastAsia" w:ascii="仿宋" w:hAnsi="仿宋" w:eastAsia="仿宋" w:cs="仿宋"/>
          <w:highlight w:val="none"/>
          <w:lang w:val="en-US" w:eastAsia="zh-CN"/>
        </w:rPr>
        <w:t>本次绩效评价工作中，评价小组未能获得市场监督管理局以前年度绩效评价结果的应用情况相关资料，视同以前年度绩效评价结果未有效应用</w:t>
      </w:r>
      <w:r>
        <w:rPr>
          <w:rFonts w:hint="eastAsia" w:ascii="仿宋" w:hAnsi="仿宋" w:eastAsia="仿宋" w:cs="仿宋"/>
          <w:highlight w:val="none"/>
        </w:rPr>
        <w:t>。</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57" w:name="_Toc32169"/>
      <w:bookmarkStart w:id="58" w:name="_Toc9057"/>
      <w:bookmarkStart w:id="59" w:name="_Toc1059"/>
      <w:r>
        <w:rPr>
          <w:rFonts w:hint="eastAsia"/>
        </w:rPr>
        <w:t>1.3.2本年度绩效管理存在的问题和原因</w:t>
      </w:r>
      <w:bookmarkEnd w:id="57"/>
      <w:bookmarkEnd w:id="58"/>
      <w:bookmarkEnd w:id="5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2"/>
          <w:highlight w:val="none"/>
          <w:lang w:val="en-US"/>
        </w:rPr>
      </w:pPr>
      <w:bookmarkStart w:id="60" w:name="_Toc32306"/>
      <w:r>
        <w:rPr>
          <w:rFonts w:hint="eastAsia" w:ascii="仿宋" w:hAnsi="仿宋" w:eastAsia="仿宋" w:cs="仿宋"/>
          <w:b w:val="0"/>
          <w:bCs w:val="0"/>
          <w:szCs w:val="32"/>
          <w:highlight w:val="none"/>
        </w:rPr>
        <w:t>1.3.2.1指标设置</w:t>
      </w:r>
      <w:bookmarkEnd w:id="60"/>
      <w:r>
        <w:rPr>
          <w:rFonts w:hint="eastAsia" w:ascii="仿宋" w:hAnsi="仿宋" w:eastAsia="仿宋" w:cs="仿宋"/>
          <w:b w:val="0"/>
          <w:bCs w:val="0"/>
          <w:szCs w:val="32"/>
          <w:highlight w:val="none"/>
          <w:lang w:val="en-US" w:eastAsia="zh-CN"/>
        </w:rPr>
        <w:t>不够</w:t>
      </w:r>
      <w:r>
        <w:rPr>
          <w:rFonts w:hint="eastAsia" w:ascii="仿宋" w:hAnsi="仿宋" w:eastAsia="仿宋" w:cs="仿宋"/>
          <w:b w:val="0"/>
          <w:bCs w:val="0"/>
          <w:sz w:val="32"/>
          <w:szCs w:val="32"/>
          <w:highlight w:val="none"/>
          <w:lang w:val="en-US" w:eastAsia="zh-CN"/>
        </w:rPr>
        <w:t>清晰、细化，可衡量性不高</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eastAsia="仿宋"/>
          <w:sz w:val="32"/>
          <w:szCs w:val="32"/>
          <w:highlight w:val="none"/>
          <w:lang w:val="en-US" w:eastAsia="zh-CN"/>
        </w:rPr>
      </w:pPr>
      <w:r>
        <w:rPr>
          <w:rFonts w:hint="eastAsia" w:ascii="仿宋" w:hAnsi="仿宋" w:eastAsia="仿宋" w:cs="仿宋"/>
          <w:sz w:val="32"/>
          <w:szCs w:val="32"/>
          <w:highlight w:val="none"/>
        </w:rPr>
        <w:t>通城县</w:t>
      </w:r>
      <w:r>
        <w:rPr>
          <w:rFonts w:hint="eastAsia" w:ascii="仿宋" w:hAnsi="仿宋" w:eastAsia="仿宋" w:cs="仿宋"/>
          <w:sz w:val="32"/>
          <w:szCs w:val="32"/>
          <w:highlight w:val="none"/>
          <w:lang w:val="en-US" w:eastAsia="zh-CN"/>
        </w:rPr>
        <w:t>市场监督管理局食品药品检测</w:t>
      </w:r>
      <w:r>
        <w:rPr>
          <w:rFonts w:hint="eastAsia" w:ascii="仿宋" w:hAnsi="仿宋" w:eastAsia="仿宋" w:cs="仿宋"/>
          <w:sz w:val="32"/>
          <w:szCs w:val="32"/>
          <w:highlight w:val="none"/>
        </w:rPr>
        <w:t>项目绩效指标可衡量</w:t>
      </w:r>
      <w:r>
        <w:rPr>
          <w:rFonts w:hint="eastAsia" w:ascii="仿宋" w:hAnsi="仿宋" w:eastAsia="仿宋" w:cs="仿宋"/>
          <w:sz w:val="32"/>
          <w:szCs w:val="32"/>
          <w:highlight w:val="none"/>
          <w:lang w:val="en-US" w:eastAsia="zh-CN"/>
        </w:rPr>
        <w:t>性</w:t>
      </w:r>
      <w:r>
        <w:rPr>
          <w:rFonts w:hint="eastAsia" w:ascii="仿宋" w:hAnsi="仿宋" w:eastAsia="仿宋" w:cs="仿宋"/>
          <w:sz w:val="32"/>
          <w:szCs w:val="32"/>
          <w:highlight w:val="none"/>
        </w:rPr>
        <w:t>不足，</w:t>
      </w:r>
      <w:r>
        <w:rPr>
          <w:rFonts w:hint="eastAsia" w:ascii="仿宋" w:hAnsi="仿宋" w:eastAsia="仿宋" w:cs="仿宋"/>
          <w:sz w:val="32"/>
          <w:szCs w:val="32"/>
          <w:highlight w:val="none"/>
          <w:lang w:val="en-US" w:eastAsia="zh-CN"/>
        </w:rPr>
        <w:t>如：产出指标中产出质量“出具产品检测报告内容披露明细程度”；效益指标中社会效益“提升全县企业产品质量整合资源与提升全县检验检测水平及能力，大力推进质量建设工作”未通过定量指标值予以体现。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Cs w:val="32"/>
          <w:highlight w:val="none"/>
          <w:lang w:val="en-US" w:eastAsia="zh-CN"/>
        </w:rPr>
      </w:pPr>
      <w:r>
        <w:rPr>
          <w:rFonts w:hint="eastAsia" w:ascii="仿宋" w:hAnsi="仿宋" w:eastAsia="仿宋" w:cs="仿宋"/>
          <w:b w:val="0"/>
          <w:bCs w:val="0"/>
          <w:szCs w:val="32"/>
          <w:highlight w:val="none"/>
          <w:lang w:val="en-US" w:eastAsia="zh-CN"/>
        </w:rPr>
        <w:t>1.3.2.2绩效目标完成度和时效性不足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color w:val="000000"/>
          <w:kern w:val="0"/>
          <w:sz w:val="32"/>
          <w:szCs w:val="32"/>
          <w:highlight w:val="none"/>
          <w:lang w:val="en-US" w:eastAsia="zh-CN" w:bidi="ar-SA"/>
        </w:rPr>
        <w:t>根据现场核查食品抽检信息公开1,586个，工业产品抽检信息公开115个，合计抽检信息公开1,701个，该项目实际抽检1,990个，抽检信息公开率为85.48%，未达到100%。</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color w:val="000000"/>
          <w:kern w:val="0"/>
          <w:sz w:val="32"/>
          <w:szCs w:val="32"/>
          <w:highlight w:val="none"/>
          <w:lang w:val="en-US" w:eastAsia="zh-CN" w:bidi="ar-SA"/>
        </w:rPr>
        <w:t>通城县市场监督管理局《关于开展2022年度产品质量</w:t>
      </w:r>
      <w:r>
        <w:rPr>
          <w:rFonts w:hint="eastAsia" w:ascii="仿宋" w:hAnsi="仿宋" w:eastAsia="仿宋" w:cs="仿宋"/>
          <w:sz w:val="32"/>
          <w:szCs w:val="32"/>
          <w:highlight w:val="none"/>
          <w:lang w:val="en-US" w:eastAsia="zh-CN"/>
        </w:rPr>
        <w:t>监督抽查工作的通知》规定，柴油车尾气处理液车用尿素液（AUS32）项目检查应于2022年11月30日之前完成，实际完成时间在2022年12月8日，完成时间滞后。</w:t>
      </w:r>
    </w:p>
    <w:p>
      <w:pPr>
        <w:pStyle w:val="4"/>
        <w:keepNext/>
        <w:keepLines/>
        <w:pageBreakBefore w:val="0"/>
        <w:widowControl w:val="0"/>
        <w:kinsoku/>
        <w:wordWrap/>
        <w:overflowPunct/>
        <w:topLinePunct w:val="0"/>
        <w:autoSpaceDE/>
        <w:autoSpaceDN/>
        <w:bidi w:val="0"/>
        <w:adjustRightInd/>
        <w:snapToGrid/>
        <w:ind w:firstLine="633"/>
        <w:textAlignment w:val="auto"/>
        <w:rPr>
          <w:rFonts w:hint="eastAsia"/>
          <w:highlight w:val="none"/>
        </w:rPr>
      </w:pPr>
      <w:bookmarkStart w:id="61" w:name="_Toc28380"/>
      <w:bookmarkStart w:id="62" w:name="_Toc7245"/>
      <w:r>
        <w:rPr>
          <w:rFonts w:hint="eastAsia"/>
          <w:highlight w:val="none"/>
        </w:rPr>
        <w:t>1.4结果拟应用建议</w:t>
      </w:r>
      <w:bookmarkEnd w:id="61"/>
      <w:bookmarkEnd w:id="62"/>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63" w:name="_Toc25647"/>
      <w:bookmarkStart w:id="64" w:name="_Toc28811"/>
      <w:bookmarkStart w:id="65" w:name="_Toc21383"/>
      <w:r>
        <w:rPr>
          <w:rFonts w:hint="eastAsia"/>
        </w:rPr>
        <w:t>1.4.1进一步</w:t>
      </w:r>
      <w:r>
        <w:rPr>
          <w:rFonts w:hint="eastAsia"/>
          <w:lang w:val="en-US" w:eastAsia="zh-CN"/>
        </w:rPr>
        <w:t>加强</w:t>
      </w:r>
      <w:r>
        <w:rPr>
          <w:rFonts w:hint="eastAsia"/>
        </w:rPr>
        <w:t>绩效管理工作</w:t>
      </w:r>
      <w:bookmarkEnd w:id="63"/>
      <w:bookmarkEnd w:id="64"/>
      <w:bookmarkEnd w:id="6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通城县</w:t>
      </w:r>
      <w:r>
        <w:rPr>
          <w:rFonts w:hint="eastAsia" w:ascii="仿宋" w:hAnsi="仿宋" w:eastAsia="仿宋" w:cs="仿宋"/>
          <w:szCs w:val="32"/>
          <w:highlight w:val="none"/>
          <w:lang w:val="en-US" w:eastAsia="zh-CN"/>
        </w:rPr>
        <w:t>市场监督管理局</w:t>
      </w:r>
      <w:r>
        <w:rPr>
          <w:rFonts w:hint="eastAsia" w:ascii="仿宋" w:hAnsi="仿宋" w:eastAsia="仿宋" w:cs="仿宋"/>
          <w:szCs w:val="32"/>
          <w:highlight w:val="none"/>
        </w:rPr>
        <w:t>根据年度工作预期目标和预算金额，结合项目特点，科学设置绩效目标，设置完整、全面、清晰、可衡量的绩效指标。</w:t>
      </w:r>
      <w:bookmarkStart w:id="66" w:name="_Toc9647"/>
      <w:bookmarkStart w:id="67" w:name="_Toc7365"/>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default"/>
          <w:lang w:val="en-US" w:eastAsia="zh-CN"/>
        </w:rPr>
      </w:pPr>
      <w:bookmarkStart w:id="68" w:name="_Toc21934"/>
      <w:r>
        <w:rPr>
          <w:rFonts w:hint="eastAsia"/>
        </w:rPr>
        <w:t>1.4.</w:t>
      </w:r>
      <w:r>
        <w:rPr>
          <w:rFonts w:hint="eastAsia"/>
          <w:lang w:val="en-US" w:eastAsia="zh-CN"/>
        </w:rPr>
        <w:t>2及时推进项目实施</w:t>
      </w:r>
      <w:bookmarkEnd w:id="6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lang w:val="en-US" w:eastAsia="zh-CN"/>
        </w:rPr>
      </w:pPr>
      <w:r>
        <w:rPr>
          <w:rFonts w:hint="eastAsia" w:ascii="仿宋" w:hAnsi="仿宋" w:eastAsia="仿宋" w:cs="仿宋"/>
          <w:szCs w:val="32"/>
          <w:highlight w:val="none"/>
          <w:lang w:val="en-US" w:eastAsia="zh-CN"/>
        </w:rPr>
        <w:t>根据项目实施存在的问题，以后年度按照设置的绩效目标，积极推动项目实施，对项目实施节点进行管控，全力保障项目实施质量和实施时效，保证项目达到预期效果。</w:t>
      </w:r>
    </w:p>
    <w:p>
      <w:pPr>
        <w:pStyle w:val="3"/>
        <w:keepNext/>
        <w:keepLines/>
        <w:pageBreakBefore w:val="0"/>
        <w:widowControl w:val="0"/>
        <w:kinsoku/>
        <w:wordWrap/>
        <w:overflowPunct/>
        <w:topLinePunct w:val="0"/>
        <w:autoSpaceDE/>
        <w:autoSpaceDN/>
        <w:bidi w:val="0"/>
        <w:adjustRightInd/>
        <w:snapToGrid/>
        <w:ind w:firstLine="633"/>
        <w:textAlignment w:val="auto"/>
        <w:rPr>
          <w:rFonts w:hint="eastAsia"/>
        </w:rPr>
      </w:pPr>
      <w:bookmarkStart w:id="69" w:name="_Toc8881"/>
      <w:r>
        <w:rPr>
          <w:rFonts w:hint="eastAsia"/>
        </w:rPr>
        <w:t>2 佐证资料</w:t>
      </w:r>
      <w:bookmarkEnd w:id="66"/>
      <w:bookmarkEnd w:id="69"/>
      <w:bookmarkStart w:id="70" w:name="_Toc10136"/>
      <w:bookmarkStart w:id="71" w:name="_Toc24360"/>
      <w:bookmarkStart w:id="72" w:name="_Toc40281673"/>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outlineLvl w:val="1"/>
        <w:rPr>
          <w:rFonts w:hint="eastAsia" w:ascii="楷体" w:hAnsi="楷体" w:eastAsia="楷体" w:cs="楷体"/>
          <w:b/>
          <w:bCs/>
          <w:highlight w:val="none"/>
        </w:rPr>
      </w:pPr>
      <w:bookmarkStart w:id="73" w:name="_Toc21876"/>
      <w:r>
        <w:rPr>
          <w:rFonts w:hint="eastAsia" w:ascii="楷体" w:hAnsi="楷体" w:eastAsia="楷体" w:cs="楷体"/>
          <w:b/>
          <w:bCs/>
          <w:highlight w:val="none"/>
        </w:rPr>
        <w:t>2.1基本情况</w:t>
      </w:r>
      <w:bookmarkEnd w:id="70"/>
      <w:bookmarkEnd w:id="71"/>
      <w:bookmarkEnd w:id="72"/>
      <w:bookmarkEnd w:id="73"/>
      <w:bookmarkStart w:id="74" w:name="_Toc21100"/>
      <w:bookmarkStart w:id="75" w:name="_Toc28146"/>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76" w:name="_Toc29500"/>
      <w:r>
        <w:rPr>
          <w:rFonts w:hint="eastAsia"/>
        </w:rPr>
        <w:t>2.1.1项目立项目的</w:t>
      </w:r>
      <w:bookmarkEnd w:id="74"/>
      <w:bookmarkEnd w:id="75"/>
      <w:bookmarkEnd w:id="7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通过实施食品安全抽检计划，以食品安全抽样检验为抓手，以发现食品安全问题为导向，以监督抽检与信息公开、核查处置联动为保障，及时发现苗头性、系统性、区域性食品安全风险和问题。以创建省级食品安全示范县为重点，巩固食品安全稳定向好的态势，促进食品产业有序健康</w:t>
      </w:r>
      <w:bookmarkEnd w:id="67"/>
      <w:bookmarkStart w:id="77" w:name="_Toc25168"/>
      <w:r>
        <w:rPr>
          <w:rFonts w:hint="eastAsia" w:ascii="仿宋" w:hAnsi="仿宋" w:eastAsia="仿宋" w:cs="仿宋"/>
          <w:highlight w:val="none"/>
          <w:lang w:val="en-US" w:eastAsia="zh-CN"/>
        </w:rPr>
        <w:t>发展。</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78" w:name="_Toc11614"/>
      <w:r>
        <w:rPr>
          <w:rFonts w:hint="eastAsia"/>
        </w:rPr>
        <w:t>2.1.2年度绩效目标</w:t>
      </w:r>
      <w:bookmarkEnd w:id="77"/>
      <w:bookmarkEnd w:id="7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highlight w:val="none"/>
          <w:lang w:val="en-US" w:eastAsia="zh-CN"/>
        </w:rPr>
      </w:pPr>
      <w:r>
        <w:rPr>
          <w:rFonts w:hint="eastAsia" w:ascii="仿宋" w:hAnsi="仿宋" w:eastAsia="仿宋" w:cs="仿宋"/>
          <w:b w:val="0"/>
          <w:bCs w:val="0"/>
          <w:highlight w:val="none"/>
          <w:lang w:val="en-US" w:eastAsia="zh-CN"/>
        </w:rPr>
        <w:t>2022年，根据市局关于全市食品安全监督抽检任务安排和创建省级食品安全示范县“全县安全年均抽检量达到4批次/千人，其中针对农药兽药残留的食品抽检量达到2批次/千人”的工作要求，以2021年度全县常住人口42.63万人计，食品安全监督抽检全年计划完成1,800批次，其中食品抽检计划完成940批次，食用农产品计划完成860批次，工业产品全年计划抽检190批次，共计1,990批次。实际全年食品安全监督抽检数量完成1,800批次，工业产品抽检190批次，共计1,990批次。</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79" w:name="_Toc27623"/>
      <w:bookmarkStart w:id="80" w:name="_Toc17152"/>
      <w:bookmarkStart w:id="81" w:name="_Toc25463"/>
      <w:r>
        <w:rPr>
          <w:rFonts w:hint="eastAsia"/>
        </w:rPr>
        <w:t>2.1.3项目资金情况</w:t>
      </w:r>
      <w:bookmarkEnd w:id="79"/>
      <w:bookmarkEnd w:id="80"/>
      <w:bookmarkEnd w:id="81"/>
      <w:r>
        <w:rPr>
          <w:rFonts w:hint="eastAsia"/>
        </w:rPr>
        <w:t xml:space="preserve"> </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年通城</w:t>
      </w:r>
      <w:r>
        <w:rPr>
          <w:rFonts w:hint="eastAsia" w:ascii="仿宋" w:hAnsi="仿宋" w:eastAsia="仿宋" w:cs="仿宋"/>
          <w:sz w:val="32"/>
          <w:szCs w:val="32"/>
          <w:lang w:val="en-US" w:eastAsia="zh-CN"/>
        </w:rPr>
        <w:t>县市场监督管理局食品药品检测</w:t>
      </w:r>
      <w:r>
        <w:rPr>
          <w:rFonts w:hint="eastAsia" w:ascii="仿宋" w:hAnsi="仿宋" w:eastAsia="仿宋" w:cs="仿宋"/>
          <w:sz w:val="32"/>
          <w:szCs w:val="32"/>
        </w:rPr>
        <w:t>项目总预算</w:t>
      </w:r>
      <w:r>
        <w:rPr>
          <w:rFonts w:hint="eastAsia" w:ascii="仿宋" w:hAnsi="仿宋" w:eastAsia="仿宋" w:cs="仿宋"/>
          <w:sz w:val="32"/>
          <w:szCs w:val="32"/>
          <w:lang w:val="en-US" w:eastAsia="zh-CN"/>
        </w:rPr>
        <w:t>230</w:t>
      </w:r>
      <w:r>
        <w:rPr>
          <w:rFonts w:hint="eastAsia" w:ascii="仿宋" w:hAnsi="仿宋" w:eastAsia="仿宋" w:cs="仿宋"/>
          <w:sz w:val="32"/>
          <w:szCs w:val="32"/>
        </w:rPr>
        <w:t>.00万元，</w:t>
      </w:r>
      <w:r>
        <w:rPr>
          <w:rFonts w:hint="eastAsia" w:ascii="仿宋" w:hAnsi="仿宋" w:eastAsia="仿宋" w:cs="仿宋"/>
          <w:sz w:val="32"/>
          <w:szCs w:val="32"/>
          <w:lang w:val="en-US" w:eastAsia="zh-CN"/>
        </w:rPr>
        <w:t>通城县财政局要求抽检经费据实结算，检测工作完成后，通城县市场监督管理局据实申</w:t>
      </w:r>
      <w:r>
        <w:rPr>
          <w:rFonts w:hint="eastAsia" w:ascii="仿宋" w:hAnsi="仿宋" w:eastAsia="仿宋" w:cs="仿宋"/>
          <w:color w:val="auto"/>
          <w:sz w:val="32"/>
          <w:szCs w:val="32"/>
          <w:lang w:val="en-US" w:eastAsia="zh-CN"/>
        </w:rPr>
        <w:t>报</w:t>
      </w:r>
      <w:r>
        <w:rPr>
          <w:rFonts w:hint="eastAsia" w:ascii="仿宋" w:hAnsi="仿宋" w:eastAsia="仿宋" w:cs="仿宋"/>
          <w:sz w:val="32"/>
          <w:szCs w:val="32"/>
          <w:lang w:val="en-US" w:eastAsia="zh-CN"/>
        </w:rPr>
        <w:t>资金226.38万元，</w:t>
      </w:r>
      <w:r>
        <w:rPr>
          <w:rFonts w:hint="eastAsia" w:ascii="仿宋" w:hAnsi="仿宋" w:eastAsia="仿宋" w:cs="仿宋"/>
          <w:sz w:val="32"/>
          <w:szCs w:val="32"/>
        </w:rPr>
        <w:t>实际</w:t>
      </w:r>
      <w:r>
        <w:rPr>
          <w:rFonts w:hint="eastAsia" w:ascii="仿宋" w:hAnsi="仿宋" w:eastAsia="仿宋" w:cs="仿宋"/>
          <w:sz w:val="32"/>
          <w:szCs w:val="32"/>
          <w:lang w:val="en-US" w:eastAsia="zh-CN"/>
        </w:rPr>
        <w:t>拨付到位</w:t>
      </w:r>
      <w:r>
        <w:rPr>
          <w:rFonts w:hint="eastAsia" w:ascii="仿宋" w:hAnsi="仿宋" w:eastAsia="仿宋" w:cs="仿宋"/>
          <w:sz w:val="32"/>
          <w:szCs w:val="32"/>
        </w:rPr>
        <w:t>资金</w:t>
      </w:r>
      <w:r>
        <w:rPr>
          <w:rFonts w:hint="eastAsia" w:ascii="仿宋" w:hAnsi="仿宋" w:eastAsia="仿宋" w:cs="仿宋"/>
          <w:sz w:val="32"/>
          <w:szCs w:val="32"/>
          <w:lang w:val="en-US" w:eastAsia="zh-CN"/>
        </w:rPr>
        <w:t>226</w:t>
      </w:r>
      <w:r>
        <w:rPr>
          <w:rFonts w:hint="eastAsia" w:ascii="仿宋" w:hAnsi="仿宋" w:eastAsia="仿宋" w:cs="仿宋"/>
          <w:sz w:val="32"/>
          <w:szCs w:val="32"/>
        </w:rPr>
        <w:t>.00万元，</w:t>
      </w:r>
      <w:r>
        <w:rPr>
          <w:rFonts w:hint="eastAsia" w:ascii="仿宋" w:hAnsi="仿宋" w:eastAsia="仿宋" w:cs="仿宋"/>
          <w:sz w:val="32"/>
          <w:szCs w:val="32"/>
          <w:lang w:val="en-US" w:eastAsia="zh-CN"/>
        </w:rPr>
        <w:t>实际拨付到位资金与申报资金，差额0.38万元，通城县市场监督管理局冲减了与湖北洁源检测有限公司签订的合同金额，原定合同金额39.91万元，实际支付湖北洁源检测有限公司39.53万元，该</w:t>
      </w:r>
      <w:r>
        <w:rPr>
          <w:rFonts w:hint="eastAsia" w:ascii="仿宋" w:hAnsi="仿宋" w:eastAsia="仿宋" w:cs="仿宋"/>
          <w:sz w:val="32"/>
          <w:szCs w:val="32"/>
        </w:rPr>
        <w:t>项目</w:t>
      </w:r>
      <w:r>
        <w:rPr>
          <w:rFonts w:hint="eastAsia" w:ascii="仿宋" w:hAnsi="仿宋" w:eastAsia="仿宋" w:cs="仿宋"/>
          <w:sz w:val="32"/>
          <w:szCs w:val="32"/>
          <w:lang w:val="en-US" w:eastAsia="zh-CN"/>
        </w:rPr>
        <w:t>实际</w:t>
      </w:r>
      <w:r>
        <w:rPr>
          <w:rFonts w:hint="eastAsia" w:ascii="仿宋" w:hAnsi="仿宋" w:eastAsia="仿宋" w:cs="仿宋"/>
          <w:sz w:val="32"/>
          <w:szCs w:val="32"/>
        </w:rPr>
        <w:t>支出</w:t>
      </w:r>
      <w:r>
        <w:rPr>
          <w:rFonts w:hint="eastAsia" w:ascii="仿宋" w:hAnsi="仿宋" w:eastAsia="仿宋" w:cs="仿宋"/>
          <w:sz w:val="32"/>
          <w:szCs w:val="32"/>
          <w:lang w:val="en-US" w:eastAsia="zh-CN"/>
        </w:rPr>
        <w:t>共计资金226</w:t>
      </w:r>
      <w:r>
        <w:rPr>
          <w:rFonts w:hint="eastAsia" w:ascii="仿宋" w:hAnsi="仿宋" w:eastAsia="仿宋" w:cs="仿宋"/>
          <w:sz w:val="32"/>
          <w:szCs w:val="32"/>
        </w:rPr>
        <w:t>.00万元，资金结余0.00万元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该项目所涉及费用全部支付完毕，</w:t>
      </w:r>
      <w:r>
        <w:rPr>
          <w:rFonts w:hint="eastAsia" w:ascii="仿宋" w:hAnsi="仿宋" w:eastAsia="仿宋" w:cs="仿宋"/>
          <w:sz w:val="32"/>
          <w:szCs w:val="32"/>
        </w:rPr>
        <w:t>具体分配情况如下：</w:t>
      </w:r>
    </w:p>
    <w:tbl>
      <w:tblPr>
        <w:tblStyle w:val="14"/>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71"/>
        <w:gridCol w:w="1234"/>
        <w:gridCol w:w="1489"/>
        <w:gridCol w:w="833"/>
        <w:gridCol w:w="2357"/>
        <w:gridCol w:w="1594"/>
        <w:gridCol w:w="6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Header/>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bookmarkStart w:id="82" w:name="_Toc9281"/>
            <w:bookmarkStart w:id="83" w:name="_Toc40281674"/>
            <w:bookmarkStart w:id="84" w:name="_Toc24556"/>
            <w:r>
              <w:rPr>
                <w:rFonts w:hint="eastAsia" w:ascii="仿宋" w:hAnsi="仿宋" w:eastAsia="仿宋" w:cs="仿宋"/>
                <w:b/>
                <w:bCs/>
                <w:i w:val="0"/>
                <w:iCs w:val="0"/>
                <w:color w:val="000000"/>
                <w:kern w:val="0"/>
                <w:sz w:val="24"/>
                <w:szCs w:val="24"/>
                <w:u w:val="none"/>
                <w:lang w:val="en-US" w:eastAsia="zh-CN" w:bidi="ar"/>
              </w:rPr>
              <w:t>序号</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收入</w:t>
            </w:r>
          </w:p>
        </w:tc>
        <w:tc>
          <w:tcPr>
            <w:tcW w:w="8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金额（万元）</w:t>
            </w:r>
          </w:p>
        </w:tc>
        <w:tc>
          <w:tcPr>
            <w:tcW w:w="180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支出</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金额（万元）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6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通财预指〔2022〕10号</w:t>
            </w:r>
          </w:p>
        </w:tc>
        <w:tc>
          <w:tcPr>
            <w:tcW w:w="84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226.00 </w:t>
            </w:r>
          </w:p>
        </w:tc>
        <w:tc>
          <w:tcPr>
            <w:tcW w:w="4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检测单位</w:t>
            </w: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湖北易安检测技术服务有限公司</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19.08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湖北洁源检测有限公司</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39.53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湖北省产品质量监督检验研究院</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37.90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80"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湖北省阿克瑞德检验检测有限公司</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49.99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6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84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4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4"/>
                <w:szCs w:val="24"/>
                <w:u w:val="none"/>
              </w:rPr>
            </w:pP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通城县公共检测中心</w:t>
            </w: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79.50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6</w:t>
            </w:r>
          </w:p>
        </w:tc>
        <w:tc>
          <w:tcPr>
            <w:tcW w:w="6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合计</w:t>
            </w:r>
          </w:p>
        </w:tc>
        <w:tc>
          <w:tcPr>
            <w:tcW w:w="8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 xml:space="preserve">226.00 </w:t>
            </w:r>
          </w:p>
        </w:tc>
        <w:tc>
          <w:tcPr>
            <w:tcW w:w="46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合计</w:t>
            </w:r>
          </w:p>
        </w:tc>
        <w:tc>
          <w:tcPr>
            <w:tcW w:w="13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val="0"/>
                <w:bCs w:val="0"/>
                <w:i w:val="0"/>
                <w:iCs w:val="0"/>
                <w:color w:val="000000"/>
                <w:sz w:val="24"/>
                <w:szCs w:val="24"/>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val="0"/>
                <w:bCs w:val="0"/>
                <w:i w:val="0"/>
                <w:iCs w:val="0"/>
                <w:color w:val="000000"/>
                <w:sz w:val="24"/>
                <w:szCs w:val="24"/>
                <w:u w:val="none"/>
              </w:rPr>
            </w:pPr>
            <w:r>
              <w:rPr>
                <w:rFonts w:hint="eastAsia" w:ascii="仿宋" w:hAnsi="仿宋" w:eastAsia="仿宋" w:cs="仿宋"/>
                <w:b w:val="0"/>
                <w:bCs w:val="0"/>
                <w:i w:val="0"/>
                <w:iCs w:val="0"/>
                <w:color w:val="000000"/>
                <w:kern w:val="0"/>
                <w:sz w:val="24"/>
                <w:szCs w:val="24"/>
                <w:u w:val="none"/>
                <w:lang w:val="en-US" w:eastAsia="zh-CN" w:bidi="ar"/>
              </w:rPr>
              <w:t xml:space="preserve">226.00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42" w:hRule="atLeast"/>
          <w:jc w:val="center"/>
        </w:trPr>
        <w:tc>
          <w:tcPr>
            <w:tcW w:w="2387"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结余</w:t>
            </w:r>
          </w:p>
        </w:tc>
        <w:tc>
          <w:tcPr>
            <w:tcW w:w="13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4"/>
                <w:szCs w:val="24"/>
                <w:u w:val="none"/>
              </w:rPr>
            </w:pPr>
          </w:p>
        </w:tc>
        <w:tc>
          <w:tcPr>
            <w:tcW w:w="9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 xml:space="preserve">0.00 </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rPr>
            </w:pPr>
          </w:p>
        </w:tc>
      </w:tr>
    </w:tbl>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85" w:name="_Toc30432"/>
      <w:r>
        <w:rPr>
          <w:rFonts w:hint="eastAsia"/>
        </w:rPr>
        <w:t>2.2绩效评价工作开展情况</w:t>
      </w:r>
      <w:bookmarkEnd w:id="82"/>
      <w:bookmarkEnd w:id="83"/>
      <w:bookmarkEnd w:id="84"/>
      <w:bookmarkEnd w:id="85"/>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86" w:name="_Toc15359"/>
      <w:bookmarkStart w:id="87" w:name="_Toc8262"/>
      <w:bookmarkStart w:id="88" w:name="_Toc12797"/>
      <w:r>
        <w:rPr>
          <w:rFonts w:hint="eastAsia"/>
        </w:rPr>
        <w:t>2.2.1评价目的、对象和范围</w:t>
      </w:r>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为全面了解</w:t>
      </w:r>
      <w:r>
        <w:rPr>
          <w:rFonts w:hint="eastAsia" w:ascii="仿宋" w:hAnsi="仿宋" w:eastAsia="仿宋" w:cs="仿宋"/>
          <w:szCs w:val="32"/>
        </w:rPr>
        <w:t>通城县</w:t>
      </w:r>
      <w:r>
        <w:rPr>
          <w:rFonts w:hint="eastAsia" w:ascii="仿宋" w:hAnsi="仿宋" w:eastAsia="仿宋" w:cs="仿宋"/>
          <w:szCs w:val="32"/>
          <w:lang w:val="en-US" w:eastAsia="zh-CN"/>
        </w:rPr>
        <w:t>市场监督管理局食品药品检测</w:t>
      </w:r>
      <w:r>
        <w:rPr>
          <w:rFonts w:hint="eastAsia" w:ascii="仿宋" w:hAnsi="仿宋" w:eastAsia="仿宋" w:cs="仿宋"/>
        </w:rPr>
        <w:t>项目资金的使用情况、项目实施情况以及取得的综合绩效，根据财政部《关于全面实施预算绩效管理的意见》（中发</w:t>
      </w:r>
      <w:r>
        <w:rPr>
          <w:rFonts w:hint="eastAsia" w:ascii="仿宋" w:hAnsi="仿宋" w:eastAsia="仿宋" w:cs="仿宋"/>
          <w:lang w:eastAsia="zh-CN"/>
        </w:rPr>
        <w:t>〔</w:t>
      </w:r>
      <w:r>
        <w:rPr>
          <w:rFonts w:hint="eastAsia" w:ascii="仿宋" w:hAnsi="仿宋" w:eastAsia="仿宋" w:cs="仿宋"/>
          <w:lang w:val="en-US" w:eastAsia="zh-CN"/>
        </w:rPr>
        <w:t>2018</w:t>
      </w:r>
      <w:r>
        <w:rPr>
          <w:rFonts w:hint="eastAsia" w:ascii="仿宋" w:hAnsi="仿宋" w:eastAsia="仿宋" w:cs="仿宋"/>
          <w:lang w:eastAsia="zh-CN"/>
        </w:rPr>
        <w:t>〕</w:t>
      </w:r>
      <w:r>
        <w:rPr>
          <w:rFonts w:hint="eastAsia" w:ascii="仿宋" w:hAnsi="仿宋" w:eastAsia="仿宋" w:cs="仿宋"/>
        </w:rPr>
        <w:t>34号文件）、《项目支出绩效评价管理办法》（财预</w:t>
      </w:r>
      <w:r>
        <w:rPr>
          <w:rFonts w:hint="eastAsia" w:ascii="仿宋" w:hAnsi="仿宋" w:eastAsia="仿宋" w:cs="仿宋"/>
          <w:lang w:eastAsia="zh-CN"/>
        </w:rPr>
        <w:t>〔</w:t>
      </w:r>
      <w:r>
        <w:rPr>
          <w:rFonts w:hint="eastAsia" w:ascii="仿宋" w:hAnsi="仿宋" w:eastAsia="仿宋" w:cs="仿宋"/>
          <w:lang w:val="en-US" w:eastAsia="zh-CN"/>
        </w:rPr>
        <w:t>2020</w:t>
      </w:r>
      <w:r>
        <w:rPr>
          <w:rFonts w:hint="eastAsia" w:ascii="仿宋" w:hAnsi="仿宋" w:eastAsia="仿宋" w:cs="仿宋"/>
          <w:lang w:eastAsia="zh-CN"/>
        </w:rPr>
        <w:t>〕</w:t>
      </w:r>
      <w:r>
        <w:rPr>
          <w:rFonts w:hint="eastAsia" w:ascii="仿宋" w:hAnsi="仿宋" w:eastAsia="仿宋" w:cs="仿宋"/>
        </w:rPr>
        <w:t>10号）、《湖北省财政厅关于印发全面实施预算绩效管理系列制度的通知》（鄂财绩发</w:t>
      </w:r>
      <w:r>
        <w:rPr>
          <w:rFonts w:hint="eastAsia" w:ascii="仿宋" w:hAnsi="仿宋" w:eastAsia="仿宋" w:cs="仿宋"/>
          <w:lang w:eastAsia="zh-CN"/>
        </w:rPr>
        <w:t>〔</w:t>
      </w:r>
      <w:r>
        <w:rPr>
          <w:rFonts w:hint="eastAsia" w:ascii="仿宋" w:hAnsi="仿宋" w:eastAsia="仿宋" w:cs="仿宋"/>
          <w:lang w:val="en-US" w:eastAsia="zh-CN"/>
        </w:rPr>
        <w:t>2020</w:t>
      </w:r>
      <w:r>
        <w:rPr>
          <w:rFonts w:hint="eastAsia" w:ascii="仿宋" w:hAnsi="仿宋" w:eastAsia="仿宋" w:cs="仿宋"/>
          <w:lang w:eastAsia="zh-CN"/>
        </w:rPr>
        <w:t>〕</w:t>
      </w:r>
      <w:r>
        <w:rPr>
          <w:rFonts w:hint="eastAsia" w:ascii="仿宋" w:hAnsi="仿宋" w:eastAsia="仿宋" w:cs="仿宋"/>
        </w:rPr>
        <w:t>3号）、《湖北省全面实施预算绩效管理工作指南</w:t>
      </w:r>
      <w:r>
        <w:rPr>
          <w:rFonts w:hint="eastAsia" w:ascii="仿宋" w:hAnsi="仿宋" w:eastAsia="仿宋" w:cs="仿宋"/>
          <w:lang w:eastAsia="zh-CN"/>
        </w:rPr>
        <w:t>》《</w:t>
      </w:r>
      <w:r>
        <w:rPr>
          <w:rFonts w:hint="eastAsia" w:ascii="仿宋" w:hAnsi="仿宋" w:eastAsia="仿宋" w:cs="仿宋"/>
        </w:rPr>
        <w:t>通城县财政局关于印发全面实施预算绩效管理系列制度的通知》（隽财发</w:t>
      </w:r>
      <w:r>
        <w:rPr>
          <w:rFonts w:hint="eastAsia" w:ascii="仿宋" w:hAnsi="仿宋" w:eastAsia="仿宋" w:cs="仿宋"/>
          <w:lang w:eastAsia="zh-CN"/>
        </w:rPr>
        <w:t>〔</w:t>
      </w:r>
      <w:r>
        <w:rPr>
          <w:rFonts w:hint="eastAsia" w:ascii="仿宋" w:hAnsi="仿宋" w:eastAsia="仿宋" w:cs="仿宋"/>
          <w:lang w:val="en-US" w:eastAsia="zh-CN"/>
        </w:rPr>
        <w:t>2020</w:t>
      </w:r>
      <w:r>
        <w:rPr>
          <w:rFonts w:hint="eastAsia" w:ascii="仿宋" w:hAnsi="仿宋" w:eastAsia="仿宋" w:cs="仿宋"/>
          <w:lang w:eastAsia="zh-CN"/>
        </w:rPr>
        <w:t>〕</w:t>
      </w:r>
      <w:r>
        <w:rPr>
          <w:rFonts w:hint="eastAsia" w:ascii="仿宋" w:hAnsi="仿宋" w:eastAsia="仿宋" w:cs="仿宋"/>
        </w:rPr>
        <w:t>40号）、通城县财政局关于印发</w:t>
      </w:r>
      <w:r>
        <w:rPr>
          <w:rFonts w:hint="eastAsia" w:ascii="仿宋" w:hAnsi="仿宋" w:eastAsia="仿宋" w:cs="仿宋"/>
          <w:highlight w:val="none"/>
        </w:rPr>
        <w:t>《202</w:t>
      </w:r>
      <w:r>
        <w:rPr>
          <w:rFonts w:hint="eastAsia" w:ascii="仿宋" w:hAnsi="仿宋" w:eastAsia="仿宋" w:cs="仿宋"/>
          <w:highlight w:val="none"/>
          <w:lang w:val="en-US" w:eastAsia="zh-CN"/>
        </w:rPr>
        <w:t>2</w:t>
      </w:r>
      <w:r>
        <w:rPr>
          <w:rFonts w:hint="eastAsia" w:ascii="仿宋" w:hAnsi="仿宋" w:eastAsia="仿宋" w:cs="仿宋"/>
          <w:highlight w:val="none"/>
        </w:rPr>
        <w:t>年度通城县预算单位重点绩效评价方案》的通知（隽财发</w:t>
      </w:r>
      <w:r>
        <w:rPr>
          <w:rFonts w:hint="eastAsia" w:ascii="仿宋" w:hAnsi="仿宋" w:eastAsia="仿宋" w:cs="仿宋"/>
          <w:highlight w:val="none"/>
          <w:lang w:eastAsia="zh-CN"/>
        </w:rPr>
        <w:t>〔</w:t>
      </w:r>
      <w:r>
        <w:rPr>
          <w:rFonts w:hint="eastAsia" w:ascii="仿宋" w:hAnsi="仿宋" w:eastAsia="仿宋" w:cs="仿宋"/>
          <w:highlight w:val="none"/>
          <w:lang w:val="en-US" w:eastAsia="zh-CN"/>
        </w:rPr>
        <w:t>2023</w:t>
      </w:r>
      <w:r>
        <w:rPr>
          <w:rFonts w:hint="eastAsia" w:ascii="仿宋" w:hAnsi="仿宋" w:eastAsia="仿宋" w:cs="仿宋"/>
          <w:highlight w:val="none"/>
          <w:lang w:eastAsia="zh-CN"/>
        </w:rPr>
        <w:t>〕</w:t>
      </w:r>
      <w:r>
        <w:rPr>
          <w:rFonts w:hint="eastAsia" w:ascii="仿宋" w:hAnsi="仿宋" w:eastAsia="仿宋" w:cs="仿宋"/>
          <w:highlight w:val="none"/>
          <w:lang w:val="en-US" w:eastAsia="zh-CN"/>
        </w:rPr>
        <w:t>24</w:t>
      </w:r>
      <w:r>
        <w:rPr>
          <w:rFonts w:hint="eastAsia" w:ascii="仿宋" w:hAnsi="仿宋" w:eastAsia="仿宋" w:cs="仿宋"/>
          <w:highlight w:val="none"/>
        </w:rPr>
        <w:t>号）等</w:t>
      </w:r>
      <w:r>
        <w:rPr>
          <w:rFonts w:hint="eastAsia" w:ascii="仿宋" w:hAnsi="仿宋" w:eastAsia="仿宋" w:cs="仿宋"/>
        </w:rPr>
        <w:t>文件的相关要求，结合评价项目的情况和特点，运用科学、规范的绩效评价方法，科学、客观、公正</w:t>
      </w:r>
      <w:r>
        <w:rPr>
          <w:rFonts w:hint="eastAsia" w:ascii="仿宋" w:hAnsi="仿宋" w:eastAsia="仿宋" w:cs="仿宋"/>
          <w:lang w:eastAsia="zh-CN"/>
        </w:rPr>
        <w:t>地</w:t>
      </w:r>
      <w:r>
        <w:rPr>
          <w:rFonts w:hint="eastAsia" w:ascii="仿宋" w:hAnsi="仿宋" w:eastAsia="仿宋" w:cs="仿宋"/>
        </w:rPr>
        <w:t>对项目资金的分配、管理、使用、产出及效果等进行综合性评价。通过绩效评价，总结以前及</w:t>
      </w:r>
      <w:r>
        <w:rPr>
          <w:rFonts w:hint="eastAsia" w:ascii="仿宋" w:hAnsi="仿宋" w:eastAsia="仿宋" w:cs="仿宋"/>
          <w:lang w:eastAsia="zh-CN"/>
        </w:rPr>
        <w:t>近</w:t>
      </w:r>
      <w:r>
        <w:rPr>
          <w:rFonts w:hint="eastAsia" w:ascii="仿宋" w:hAnsi="仿宋" w:eastAsia="仿宋" w:cs="仿宋"/>
        </w:rPr>
        <w:t>年度的项目实施经验，发现项目管理、资金管理等存在的问题，并分析问题成因，提出相应的项目管理建议、资金管理建议及政策调整建议，优化财政支出结构，提高财政资金使用效益。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bookmarkStart w:id="89" w:name="_Toc7028"/>
      <w:r>
        <w:rPr>
          <w:rFonts w:hint="eastAsia" w:ascii="仿宋" w:hAnsi="仿宋" w:eastAsia="仿宋" w:cs="仿宋"/>
        </w:rPr>
        <w:t>本次评价范围包括</w:t>
      </w:r>
      <w:r>
        <w:rPr>
          <w:rFonts w:hint="eastAsia" w:ascii="仿宋" w:hAnsi="仿宋" w:eastAsia="仿宋" w:cs="仿宋"/>
          <w:szCs w:val="32"/>
        </w:rPr>
        <w:t>通城县</w:t>
      </w:r>
      <w:r>
        <w:rPr>
          <w:rFonts w:hint="eastAsia" w:ascii="仿宋" w:hAnsi="仿宋" w:eastAsia="仿宋" w:cs="仿宋"/>
          <w:szCs w:val="32"/>
          <w:lang w:val="en-US" w:eastAsia="zh-CN"/>
        </w:rPr>
        <w:t>市场监督管理局食品药品检测</w:t>
      </w:r>
      <w:r>
        <w:rPr>
          <w:rFonts w:hint="eastAsia" w:ascii="仿宋" w:hAnsi="仿宋" w:eastAsia="仿宋" w:cs="仿宋"/>
        </w:rPr>
        <w:t>项目决策、过程、产出、效果情况。</w:t>
      </w:r>
      <w:bookmarkEnd w:id="89"/>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90" w:name="_Toc15732"/>
      <w:bookmarkStart w:id="91" w:name="_Toc7503"/>
      <w:bookmarkStart w:id="92" w:name="_Toc4008"/>
      <w:r>
        <w:rPr>
          <w:rFonts w:hint="eastAsia"/>
        </w:rPr>
        <w:t>2.2.2评价方法、时间安排</w:t>
      </w:r>
      <w:bookmarkEnd w:id="90"/>
      <w:bookmarkEnd w:id="91"/>
      <w:bookmarkEnd w:id="92"/>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2.2.2.1评价方法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rPr>
      </w:pPr>
      <w:r>
        <w:rPr>
          <w:rFonts w:hint="eastAsia" w:ascii="仿宋" w:hAnsi="仿宋" w:eastAsia="仿宋" w:cs="仿宋"/>
        </w:rPr>
        <w:t>根据项目具体情况，在本次绩效评价中，既有定性指标又有定量指标，各类指标因考核内容不同和客观标准不同存在较大差异，本次评价主要采用以下方法：比较法、公众评判法、因素分析法等。</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2.2.2.2时间安排</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绩效评价工作分三个阶段进行，包括：7月11日－7月15日前期准备阶段、7月16日－7月31日评价实施阶段、8月1日－8月15日分析总结阶段。</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93" w:name="_Toc24352"/>
      <w:bookmarkStart w:id="94" w:name="_Toc20300"/>
      <w:bookmarkStart w:id="95" w:name="_Toc1030"/>
      <w:r>
        <w:rPr>
          <w:rFonts w:hint="eastAsia"/>
        </w:rPr>
        <w:t>2.2.3评价体系和综合评分方法</w:t>
      </w:r>
      <w:bookmarkEnd w:id="93"/>
      <w:bookmarkEnd w:id="94"/>
      <w:bookmarkEnd w:id="95"/>
    </w:p>
    <w:p>
      <w:pPr>
        <w:spacing w:line="560" w:lineRule="exact"/>
        <w:ind w:firstLine="640" w:firstLineChars="200"/>
        <w:rPr>
          <w:rFonts w:hint="eastAsia" w:ascii="仿宋_GB2312" w:hAnsi="仿宋_GB2312" w:eastAsia="仿宋_GB2312" w:cs="仿宋_GB2312"/>
        </w:rPr>
      </w:pPr>
      <w:r>
        <w:rPr>
          <w:rFonts w:hint="eastAsia" w:ascii="仿宋" w:hAnsi="仿宋" w:eastAsia="仿宋" w:cs="仿宋"/>
        </w:rPr>
        <w:t>绩效评价框架是开展绩效评价的核心。绩效评价框架包括评价准则、关键评价问题、评价指标、证据、证据来源、证据收集方法等。</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2.2.3.1评价体系</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yellow"/>
        </w:rPr>
      </w:pPr>
      <w:r>
        <w:rPr>
          <w:rFonts w:hint="eastAsia" w:ascii="仿宋" w:hAnsi="仿宋" w:eastAsia="仿宋" w:cs="仿宋"/>
          <w:sz w:val="32"/>
          <w:szCs w:val="32"/>
        </w:rPr>
        <w:t>参照《湖北省财政厅关于印发全面实施预算绩效管理系列制度的通知》（鄂财绩发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2020</w:t>
      </w:r>
      <w:r>
        <w:rPr>
          <w:rFonts w:hint="eastAsia" w:ascii="仿宋" w:hAnsi="仿宋" w:eastAsia="仿宋" w:cs="仿宋"/>
          <w:sz w:val="32"/>
          <w:szCs w:val="32"/>
          <w:lang w:eastAsia="zh-CN"/>
        </w:rPr>
        <w:t>〕</w:t>
      </w:r>
      <w:r>
        <w:rPr>
          <w:rFonts w:hint="eastAsia" w:ascii="仿宋" w:hAnsi="仿宋" w:eastAsia="仿宋" w:cs="仿宋"/>
          <w:sz w:val="32"/>
          <w:szCs w:val="32"/>
        </w:rPr>
        <w:t>3号）、《通城县财政局关于印发全面实施预算绩效管理系列制度的通知》（隽财发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2020</w:t>
      </w:r>
      <w:r>
        <w:rPr>
          <w:rFonts w:hint="eastAsia" w:ascii="仿宋" w:hAnsi="仿宋" w:eastAsia="仿宋" w:cs="仿宋"/>
          <w:sz w:val="32"/>
          <w:szCs w:val="32"/>
          <w:lang w:eastAsia="zh-CN"/>
        </w:rPr>
        <w:t>〕</w:t>
      </w:r>
      <w:r>
        <w:rPr>
          <w:rFonts w:hint="eastAsia" w:ascii="仿宋" w:hAnsi="仿宋" w:eastAsia="仿宋" w:cs="仿宋"/>
          <w:sz w:val="32"/>
          <w:szCs w:val="32"/>
        </w:rPr>
        <w:t>40号）设置共性指标权重，同时设计了体现具体项目特性的个性指标，</w:t>
      </w:r>
      <w:r>
        <w:rPr>
          <w:rFonts w:hint="eastAsia" w:ascii="仿宋" w:hAnsi="仿宋" w:eastAsia="仿宋" w:cs="仿宋"/>
          <w:sz w:val="32"/>
          <w:szCs w:val="32"/>
          <w:highlight w:val="none"/>
        </w:rPr>
        <w:t>指标体系决策权重为</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%，过程权重为2</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%，产出权重为</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0%，效果权重为</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0%，指标值具体采用计划标准、历史标准等。</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sz w:val="32"/>
          <w:szCs w:val="32"/>
        </w:rPr>
        <w:t>考虑到全面评价的要求，本次评价中根据收集的资料，调整补充了产出</w:t>
      </w:r>
      <w:r>
        <w:rPr>
          <w:rFonts w:hint="eastAsia" w:ascii="仿宋" w:hAnsi="仿宋" w:eastAsia="仿宋" w:cs="仿宋"/>
          <w:sz w:val="32"/>
          <w:szCs w:val="32"/>
          <w:lang w:val="en-US" w:eastAsia="zh-CN"/>
        </w:rPr>
        <w:t>指标</w:t>
      </w:r>
      <w:r>
        <w:rPr>
          <w:rFonts w:hint="eastAsia" w:ascii="仿宋" w:hAnsi="仿宋" w:eastAsia="仿宋" w:cs="仿宋"/>
          <w:sz w:val="32"/>
          <w:szCs w:val="32"/>
        </w:rPr>
        <w:t>，具体包括：</w:t>
      </w:r>
      <w:r>
        <w:rPr>
          <w:rFonts w:hint="eastAsia" w:ascii="仿宋" w:hAnsi="仿宋" w:eastAsia="仿宋" w:cs="仿宋"/>
          <w:sz w:val="32"/>
          <w:szCs w:val="32"/>
          <w:lang w:val="en-US" w:eastAsia="zh-CN"/>
        </w:rPr>
        <w:t>产出时效指标中</w:t>
      </w:r>
      <w:r>
        <w:rPr>
          <w:rFonts w:hint="eastAsia" w:ascii="仿宋" w:hAnsi="仿宋" w:eastAsia="仿宋" w:cs="仿宋"/>
          <w:sz w:val="32"/>
          <w:szCs w:val="32"/>
          <w:lang w:eastAsia="zh-CN"/>
        </w:rPr>
        <w:t>“</w:t>
      </w:r>
      <w:r>
        <w:rPr>
          <w:rFonts w:hint="eastAsia" w:ascii="仿宋" w:hAnsi="仿宋" w:eastAsia="仿宋" w:cs="仿宋"/>
          <w:kern w:val="0"/>
          <w:sz w:val="32"/>
          <w:szCs w:val="32"/>
        </w:rPr>
        <w:t>出具产品检测报告及时率</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调整为“项目按期完成情况”，产出质量指标增加了“不合格食品及工业产品类核查处置率”“重大违法案件查办率”“抽检信息公开情况”等指标。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Cs w:val="36"/>
        </w:rPr>
      </w:pPr>
      <w:r>
        <w:rPr>
          <w:rFonts w:hint="eastAsia" w:ascii="仿宋" w:hAnsi="仿宋" w:eastAsia="仿宋" w:cs="仿宋"/>
          <w:b w:val="0"/>
          <w:bCs w:val="0"/>
          <w:kern w:val="0"/>
          <w:szCs w:val="36"/>
        </w:rPr>
        <w:t>2.2.3.2综合评分方法</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 w:hAnsi="仿宋" w:eastAsia="仿宋" w:cs="仿宋"/>
          <w:sz w:val="32"/>
          <w:szCs w:val="32"/>
        </w:rPr>
        <w:t>绩效评价总分值100分，根据综合评分结果，评价计分90分－100分（含90分）对应的评分结果级别为优，80</w:t>
      </w:r>
      <w:r>
        <w:rPr>
          <w:rFonts w:hint="eastAsia" w:ascii="仿宋" w:hAnsi="仿宋" w:eastAsia="仿宋" w:cs="仿宋"/>
          <w:sz w:val="32"/>
          <w:szCs w:val="32"/>
          <w:lang w:eastAsia="zh-CN"/>
        </w:rPr>
        <w:t>—</w:t>
      </w:r>
      <w:r>
        <w:rPr>
          <w:rFonts w:hint="eastAsia" w:ascii="仿宋" w:hAnsi="仿宋" w:eastAsia="仿宋" w:cs="仿宋"/>
          <w:sz w:val="32"/>
          <w:szCs w:val="32"/>
        </w:rPr>
        <w:t>90分（含80分）对应的评分结果级别为良，60</w:t>
      </w:r>
      <w:r>
        <w:rPr>
          <w:rFonts w:hint="eastAsia" w:ascii="仿宋" w:hAnsi="仿宋" w:eastAsia="仿宋" w:cs="仿宋"/>
          <w:sz w:val="32"/>
          <w:szCs w:val="32"/>
          <w:lang w:eastAsia="zh-CN"/>
        </w:rPr>
        <w:t>—</w:t>
      </w:r>
      <w:r>
        <w:rPr>
          <w:rFonts w:hint="eastAsia" w:ascii="仿宋" w:hAnsi="仿宋" w:eastAsia="仿宋" w:cs="仿宋"/>
          <w:sz w:val="32"/>
          <w:szCs w:val="32"/>
        </w:rPr>
        <w:t>80分（含60分）对应的评分结果级别为中，60分以下对应的评分结果级别为差。</w:t>
      </w:r>
    </w:p>
    <w:p>
      <w:pPr>
        <w:pStyle w:val="4"/>
        <w:ind w:firstLine="633"/>
        <w:rPr>
          <w:rFonts w:hint="eastAsia"/>
        </w:rPr>
      </w:pPr>
      <w:bookmarkStart w:id="96" w:name="_Toc8589"/>
      <w:bookmarkStart w:id="97" w:name="_Toc18"/>
      <w:bookmarkStart w:id="98" w:name="_Toc16300"/>
      <w:bookmarkStart w:id="99" w:name="_Toc40281675"/>
      <w:r>
        <w:rPr>
          <w:rFonts w:hint="eastAsia"/>
        </w:rPr>
        <w:t>2.3绩效指标完成情况分析</w:t>
      </w:r>
      <w:bookmarkEnd w:id="96"/>
      <w:bookmarkEnd w:id="97"/>
      <w:bookmarkEnd w:id="98"/>
      <w:bookmarkEnd w:id="99"/>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00" w:name="_Toc29940"/>
      <w:bookmarkStart w:id="101" w:name="_Toc20594"/>
      <w:bookmarkStart w:id="102" w:name="_Toc30364"/>
      <w:r>
        <w:rPr>
          <w:rFonts w:hint="eastAsia"/>
        </w:rPr>
        <w:t>2.3.1决策</w:t>
      </w:r>
      <w:bookmarkEnd w:id="100"/>
      <w:bookmarkEnd w:id="101"/>
      <w:bookmarkEnd w:id="102"/>
    </w:p>
    <w:p>
      <w:pPr>
        <w:spacing w:line="560" w:lineRule="exact"/>
        <w:ind w:firstLine="640" w:firstLineChars="200"/>
        <w:rPr>
          <w:rFonts w:hint="eastAsia" w:ascii="仿宋" w:hAnsi="仿宋" w:eastAsia="仿宋" w:cs="仿宋"/>
          <w:szCs w:val="36"/>
          <w:highlight w:val="none"/>
        </w:rPr>
      </w:pPr>
      <w:r>
        <w:rPr>
          <w:rFonts w:hint="eastAsia" w:ascii="仿宋" w:hAnsi="仿宋" w:eastAsia="仿宋" w:cs="仿宋"/>
          <w:szCs w:val="32"/>
          <w:highlight w:val="none"/>
        </w:rPr>
        <w:t>决策指标总分值</w:t>
      </w:r>
      <w:r>
        <w:rPr>
          <w:rFonts w:hint="eastAsia" w:ascii="仿宋" w:hAnsi="仿宋" w:eastAsia="仿宋" w:cs="仿宋"/>
          <w:szCs w:val="32"/>
          <w:highlight w:val="none"/>
          <w:lang w:val="en-US" w:eastAsia="zh-CN"/>
        </w:rPr>
        <w:t>20</w:t>
      </w:r>
      <w:r>
        <w:rPr>
          <w:rFonts w:hint="eastAsia" w:ascii="仿宋" w:hAnsi="仿宋" w:eastAsia="仿宋" w:cs="仿宋"/>
          <w:szCs w:val="32"/>
          <w:highlight w:val="none"/>
        </w:rPr>
        <w:t>分，实际得分1</w:t>
      </w:r>
      <w:r>
        <w:rPr>
          <w:rFonts w:hint="eastAsia" w:ascii="仿宋" w:hAnsi="仿宋" w:eastAsia="仿宋" w:cs="仿宋"/>
          <w:szCs w:val="32"/>
          <w:highlight w:val="none"/>
          <w:lang w:val="en-US" w:eastAsia="zh-CN"/>
        </w:rPr>
        <w:t>9</w:t>
      </w:r>
      <w:r>
        <w:rPr>
          <w:rFonts w:hint="eastAsia" w:ascii="仿宋" w:hAnsi="仿宋" w:eastAsia="仿宋" w:cs="仿宋"/>
          <w:szCs w:val="32"/>
          <w:highlight w:val="none"/>
        </w:rPr>
        <w:t>分。各项指标具体完成情况如下：</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2.3.1.1项目立项</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2.3.1.1.1立项依据充分性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highlight w:val="none"/>
          <w:lang w:val="en-US"/>
        </w:rPr>
      </w:pPr>
      <w:r>
        <w:rPr>
          <w:rFonts w:hint="eastAsia" w:ascii="仿宋" w:hAnsi="仿宋" w:eastAsia="仿宋" w:cs="仿宋"/>
          <w:highlight w:val="none"/>
          <w:lang w:val="en-US" w:eastAsia="zh-CN"/>
        </w:rPr>
        <w:t>该项目根据《中华人民共和国食品安全法》《食品安全抽样检验管理办法》等法律法规和《省食品药品安全委员会办公室关于印发〈湖北省食品安全安全县评价细则（2022）版〉的通知》《咸宁市市场监督管理局关于印发2022年咸宁市食品安全监督抽检计划的通知》文件要求实施，立项依据充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6"/>
        </w:rPr>
      </w:pPr>
      <w:r>
        <w:rPr>
          <w:rFonts w:hint="eastAsia" w:ascii="仿宋" w:hAnsi="仿宋" w:eastAsia="仿宋" w:cs="仿宋"/>
          <w:b w:val="0"/>
          <w:bCs w:val="0"/>
          <w:szCs w:val="36"/>
        </w:rPr>
        <w:t>2.3.1.1.2立项程序规范性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rPr>
      </w:pPr>
      <w:r>
        <w:rPr>
          <w:rFonts w:hint="eastAsia" w:ascii="仿宋" w:hAnsi="仿宋" w:eastAsia="仿宋" w:cs="仿宋"/>
          <w:sz w:val="32"/>
          <w:szCs w:val="32"/>
          <w:lang w:val="en-US" w:eastAsia="zh-CN"/>
        </w:rPr>
        <w:t>通</w:t>
      </w:r>
      <w:r>
        <w:rPr>
          <w:rFonts w:hint="eastAsia" w:ascii="仿宋" w:hAnsi="仿宋" w:eastAsia="仿宋" w:cs="仿宋"/>
          <w:sz w:val="32"/>
          <w:szCs w:val="32"/>
        </w:rPr>
        <w:t>城</w:t>
      </w:r>
      <w:r>
        <w:rPr>
          <w:rFonts w:hint="eastAsia" w:ascii="仿宋" w:hAnsi="仿宋" w:eastAsia="仿宋" w:cs="仿宋"/>
          <w:sz w:val="32"/>
          <w:szCs w:val="32"/>
          <w:lang w:val="en-US" w:eastAsia="zh-CN"/>
        </w:rPr>
        <w:t>县市场监督管理局食品药品检测</w:t>
      </w:r>
      <w:r>
        <w:rPr>
          <w:rFonts w:hint="eastAsia" w:ascii="仿宋" w:hAnsi="仿宋" w:eastAsia="仿宋" w:cs="仿宋"/>
          <w:sz w:val="32"/>
          <w:szCs w:val="32"/>
        </w:rPr>
        <w:t>项目</w:t>
      </w:r>
      <w:r>
        <w:rPr>
          <w:rFonts w:hint="eastAsia" w:ascii="仿宋" w:hAnsi="仿宋" w:eastAsia="仿宋" w:cs="仿宋"/>
          <w:szCs w:val="32"/>
        </w:rPr>
        <w:t>资金使用过程中要求各实施单位应制定实施方案，应经过集体决策，并按规定的程序进行审批，经实地调研，</w:t>
      </w:r>
      <w:r>
        <w:rPr>
          <w:rFonts w:hint="eastAsia" w:ascii="仿宋" w:hAnsi="仿宋" w:eastAsia="仿宋" w:cs="仿宋"/>
          <w:sz w:val="32"/>
          <w:szCs w:val="32"/>
        </w:rPr>
        <w:t>城</w:t>
      </w:r>
      <w:r>
        <w:rPr>
          <w:rFonts w:hint="eastAsia" w:ascii="仿宋" w:hAnsi="仿宋" w:eastAsia="仿宋" w:cs="仿宋"/>
          <w:sz w:val="32"/>
          <w:szCs w:val="32"/>
          <w:lang w:val="en-US" w:eastAsia="zh-CN"/>
        </w:rPr>
        <w:t>县市场监督管理局食品药品检测</w:t>
      </w:r>
      <w:r>
        <w:rPr>
          <w:rFonts w:hint="eastAsia" w:ascii="仿宋" w:hAnsi="仿宋" w:eastAsia="仿宋" w:cs="仿宋"/>
          <w:sz w:val="32"/>
          <w:szCs w:val="32"/>
        </w:rPr>
        <w:t>项目</w:t>
      </w:r>
      <w:r>
        <w:rPr>
          <w:rFonts w:hint="eastAsia" w:ascii="仿宋" w:hAnsi="仿宋" w:eastAsia="仿宋" w:cs="仿宋"/>
          <w:sz w:val="32"/>
          <w:szCs w:val="32"/>
          <w:lang w:val="en-US" w:eastAsia="zh-CN"/>
        </w:rPr>
        <w:t>立项程序规范</w:t>
      </w:r>
      <w:r>
        <w:rPr>
          <w:rFonts w:hint="eastAsia" w:ascii="仿宋" w:hAnsi="仿宋" w:eastAsia="仿宋" w:cs="仿宋"/>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Cs w:val="32"/>
          <w:highlight w:val="none"/>
        </w:rPr>
      </w:pPr>
      <w:r>
        <w:rPr>
          <w:rFonts w:hint="eastAsia" w:ascii="仿宋" w:hAnsi="仿宋" w:eastAsia="仿宋" w:cs="仿宋"/>
          <w:szCs w:val="32"/>
          <w:highlight w:val="none"/>
        </w:rPr>
        <w:t>本项标准分值3分，评价得分3分。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Cs w:val="36"/>
        </w:rPr>
      </w:pPr>
      <w:r>
        <w:rPr>
          <w:rFonts w:hint="eastAsia" w:ascii="仿宋" w:hAnsi="仿宋" w:eastAsia="仿宋" w:cs="仿宋"/>
          <w:b w:val="0"/>
          <w:bCs w:val="0"/>
          <w:kern w:val="0"/>
          <w:szCs w:val="36"/>
        </w:rPr>
        <w:t>2.3.1.2绩效目标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Cs w:val="36"/>
        </w:rPr>
      </w:pPr>
      <w:r>
        <w:rPr>
          <w:rFonts w:hint="eastAsia" w:ascii="仿宋" w:hAnsi="仿宋" w:eastAsia="仿宋" w:cs="仿宋"/>
          <w:b w:val="0"/>
          <w:bCs w:val="0"/>
          <w:szCs w:val="36"/>
        </w:rPr>
        <w:t>2.3.1.2.1绩效目标合理性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rPr>
      </w:pPr>
      <w:r>
        <w:rPr>
          <w:rFonts w:hint="eastAsia" w:ascii="仿宋" w:hAnsi="仿宋" w:eastAsia="仿宋" w:cs="仿宋"/>
          <w:szCs w:val="32"/>
        </w:rPr>
        <w:t>通过查阅202</w:t>
      </w:r>
      <w:r>
        <w:rPr>
          <w:rFonts w:hint="eastAsia" w:ascii="仿宋" w:hAnsi="仿宋" w:eastAsia="仿宋" w:cs="仿宋"/>
          <w:szCs w:val="32"/>
          <w:lang w:val="en-US" w:eastAsia="zh-CN"/>
        </w:rPr>
        <w:t>2</w:t>
      </w:r>
      <w:r>
        <w:rPr>
          <w:rFonts w:hint="eastAsia" w:ascii="仿宋" w:hAnsi="仿宋" w:eastAsia="仿宋" w:cs="仿宋"/>
          <w:szCs w:val="32"/>
        </w:rPr>
        <w:t>年通城县</w:t>
      </w:r>
      <w:r>
        <w:rPr>
          <w:rFonts w:hint="eastAsia" w:ascii="仿宋" w:hAnsi="仿宋" w:eastAsia="仿宋" w:cs="仿宋"/>
          <w:szCs w:val="32"/>
          <w:lang w:val="en-US" w:eastAsia="zh-CN"/>
        </w:rPr>
        <w:t>市场监督管理局食品药品检测</w:t>
      </w:r>
      <w:r>
        <w:rPr>
          <w:rFonts w:hint="eastAsia" w:ascii="仿宋" w:hAnsi="仿宋" w:eastAsia="仿宋" w:cs="仿宋"/>
          <w:szCs w:val="32"/>
        </w:rPr>
        <w:t>项目支出绩效目标申报表，绩效目标与部门工作目标具有相关性，项目预期产出效益和效果符合正常的业绩水平。</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szCs w:val="36"/>
        </w:rPr>
      </w:pPr>
      <w:r>
        <w:rPr>
          <w:rFonts w:hint="eastAsia" w:ascii="仿宋" w:hAnsi="仿宋" w:eastAsia="仿宋" w:cs="仿宋"/>
          <w:b w:val="0"/>
          <w:bCs w:val="0"/>
          <w:szCs w:val="36"/>
        </w:rPr>
        <w:t>2.3.1.2.2绩效指标明确性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lang w:val="en-US" w:eastAsia="zh-CN"/>
        </w:rPr>
      </w:pPr>
      <w:r>
        <w:rPr>
          <w:rFonts w:hint="eastAsia" w:ascii="仿宋" w:hAnsi="仿宋" w:eastAsia="仿宋" w:cs="仿宋"/>
          <w:highlight w:val="none"/>
        </w:rPr>
        <w:t>绩效指标的完整性和科学性不足，绩效指标</w:t>
      </w:r>
      <w:r>
        <w:rPr>
          <w:rFonts w:hint="eastAsia" w:ascii="仿宋" w:hAnsi="仿宋" w:eastAsia="仿宋" w:cs="仿宋"/>
          <w:highlight w:val="none"/>
          <w:lang w:val="en-US" w:eastAsia="zh-CN"/>
        </w:rPr>
        <w:t>目标产出指标当中的产出质量和效益指标的目标设置不够清晰、细化，可衡量程度不高</w:t>
      </w:r>
      <w:r>
        <w:rPr>
          <w:rFonts w:hint="eastAsia" w:ascii="仿宋" w:hAnsi="仿宋" w:eastAsia="仿宋" w:cs="仿宋"/>
          <w:szCs w:val="32"/>
        </w:rPr>
        <w:t>。如：</w:t>
      </w:r>
      <w:r>
        <w:rPr>
          <w:rFonts w:hint="eastAsia" w:ascii="仿宋" w:hAnsi="仿宋" w:eastAsia="仿宋" w:cs="仿宋"/>
          <w:sz w:val="32"/>
          <w:szCs w:val="32"/>
          <w:highlight w:val="none"/>
          <w:lang w:val="en-US" w:eastAsia="zh-CN"/>
        </w:rPr>
        <w:t>产出指标中产出质量“出具产品检测报告内容披露明细程度”</w:t>
      </w:r>
      <w:r>
        <w:rPr>
          <w:rFonts w:hint="eastAsia" w:ascii="仿宋" w:hAnsi="仿宋" w:eastAsia="仿宋" w:cs="仿宋"/>
          <w:kern w:val="0"/>
          <w:highlight w:val="none"/>
          <w:lang w:eastAsia="zh-CN"/>
        </w:rPr>
        <w:t>；</w:t>
      </w:r>
      <w:r>
        <w:rPr>
          <w:rFonts w:hint="eastAsia" w:ascii="仿宋" w:hAnsi="仿宋" w:eastAsia="仿宋" w:cs="仿宋"/>
          <w:sz w:val="32"/>
          <w:szCs w:val="32"/>
          <w:highlight w:val="none"/>
          <w:lang w:val="en-US" w:eastAsia="zh-CN"/>
        </w:rPr>
        <w:t>效益指标中社会效益“</w:t>
      </w:r>
      <w:r>
        <w:rPr>
          <w:rFonts w:hint="eastAsia" w:ascii="仿宋" w:hAnsi="仿宋" w:eastAsia="仿宋" w:cs="仿宋"/>
          <w:kern w:val="0"/>
          <w:sz w:val="32"/>
          <w:szCs w:val="32"/>
          <w:highlight w:val="none"/>
        </w:rPr>
        <w:t>提升全县企业产品质量，整合资源</w:t>
      </w:r>
      <w:r>
        <w:rPr>
          <w:rFonts w:hint="eastAsia" w:ascii="仿宋" w:hAnsi="仿宋" w:eastAsia="仿宋" w:cs="仿宋"/>
          <w:kern w:val="0"/>
          <w:sz w:val="32"/>
          <w:szCs w:val="32"/>
          <w:highlight w:val="none"/>
          <w:lang w:val="en-US" w:eastAsia="zh-CN"/>
        </w:rPr>
        <w:t>与</w:t>
      </w:r>
      <w:r>
        <w:rPr>
          <w:rFonts w:hint="eastAsia" w:ascii="仿宋" w:hAnsi="仿宋" w:eastAsia="仿宋" w:cs="仿宋"/>
          <w:kern w:val="0"/>
          <w:highlight w:val="none"/>
        </w:rPr>
        <w:t>提升</w:t>
      </w:r>
      <w:r>
        <w:rPr>
          <w:rFonts w:hint="eastAsia" w:ascii="仿宋" w:hAnsi="仿宋" w:eastAsia="仿宋" w:cs="仿宋"/>
          <w:kern w:val="0"/>
          <w:highlight w:val="none"/>
          <w:lang w:val="en-US" w:eastAsia="zh-CN"/>
        </w:rPr>
        <w:t>全</w:t>
      </w:r>
      <w:r>
        <w:rPr>
          <w:rFonts w:hint="eastAsia" w:ascii="仿宋" w:hAnsi="仿宋" w:eastAsia="仿宋" w:cs="仿宋"/>
          <w:kern w:val="0"/>
          <w:highlight w:val="none"/>
        </w:rPr>
        <w:t>县检验检测水平及能力，大力推进质量建设工作</w:t>
      </w:r>
      <w:r>
        <w:rPr>
          <w:rFonts w:hint="eastAsia" w:ascii="仿宋" w:hAnsi="仿宋" w:eastAsia="仿宋" w:cs="仿宋"/>
          <w:kern w:val="0"/>
          <w:highlight w:val="none"/>
          <w:lang w:eastAsia="zh-CN"/>
        </w:rPr>
        <w:t>”</w:t>
      </w:r>
      <w:r>
        <w:rPr>
          <w:rFonts w:hint="eastAsia" w:ascii="仿宋" w:hAnsi="仿宋" w:eastAsia="仿宋" w:cs="仿宋"/>
          <w:kern w:val="0"/>
          <w:highlight w:val="none"/>
          <w:lang w:val="en-US" w:eastAsia="zh-CN"/>
        </w:rPr>
        <w:t>等，</w:t>
      </w:r>
      <w:r>
        <w:rPr>
          <w:rFonts w:hint="eastAsia" w:ascii="仿宋" w:hAnsi="仿宋" w:eastAsia="仿宋" w:cs="仿宋"/>
          <w:highlight w:val="none"/>
          <w:lang w:val="en-US" w:eastAsia="zh-CN"/>
        </w:rPr>
        <w:t>未</w:t>
      </w:r>
      <w:r>
        <w:rPr>
          <w:rFonts w:hint="eastAsia" w:ascii="仿宋" w:hAnsi="仿宋" w:eastAsia="仿宋" w:cs="仿宋"/>
          <w:szCs w:val="32"/>
          <w:highlight w:val="none"/>
          <w:lang w:val="en-US" w:eastAsia="zh-CN"/>
        </w:rPr>
        <w:t>通过定量指标值予以体现。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本项标准分值3分，评价得分2分。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2.3.1.3资金投入</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2.3.1.3.1预算编制科学性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202</w:t>
      </w:r>
      <w:r>
        <w:rPr>
          <w:rFonts w:hint="eastAsia" w:ascii="仿宋" w:hAnsi="仿宋" w:eastAsia="仿宋" w:cs="仿宋"/>
          <w:szCs w:val="32"/>
          <w:highlight w:val="none"/>
          <w:lang w:val="en-US" w:eastAsia="zh-CN"/>
        </w:rPr>
        <w:t>2</w:t>
      </w:r>
      <w:r>
        <w:rPr>
          <w:rFonts w:hint="eastAsia" w:ascii="仿宋" w:hAnsi="仿宋" w:eastAsia="仿宋" w:cs="仿宋"/>
          <w:szCs w:val="32"/>
          <w:highlight w:val="none"/>
        </w:rPr>
        <w:t>年项目预算金额</w:t>
      </w:r>
      <w:r>
        <w:rPr>
          <w:rFonts w:hint="eastAsia" w:ascii="仿宋" w:hAnsi="仿宋" w:eastAsia="仿宋" w:cs="仿宋"/>
          <w:szCs w:val="32"/>
          <w:highlight w:val="none"/>
          <w:lang w:val="en-US" w:eastAsia="zh-CN"/>
        </w:rPr>
        <w:t>23</w:t>
      </w:r>
      <w:r>
        <w:rPr>
          <w:rFonts w:hint="eastAsia" w:ascii="仿宋" w:hAnsi="仿宋" w:eastAsia="仿宋" w:cs="仿宋"/>
          <w:szCs w:val="32"/>
          <w:highlight w:val="none"/>
        </w:rPr>
        <w:t>0</w:t>
      </w:r>
      <w:r>
        <w:rPr>
          <w:rFonts w:hint="eastAsia" w:ascii="仿宋" w:hAnsi="仿宋" w:eastAsia="仿宋" w:cs="仿宋"/>
          <w:szCs w:val="32"/>
          <w:highlight w:val="none"/>
          <w:lang w:val="en-US" w:eastAsia="zh-CN"/>
        </w:rPr>
        <w:t>.</w:t>
      </w:r>
      <w:r>
        <w:rPr>
          <w:rFonts w:hint="eastAsia" w:ascii="仿宋" w:hAnsi="仿宋" w:eastAsia="仿宋" w:cs="仿宋"/>
          <w:szCs w:val="32"/>
          <w:highlight w:val="none"/>
        </w:rPr>
        <w:t>0</w:t>
      </w:r>
      <w:r>
        <w:rPr>
          <w:rFonts w:hint="eastAsia" w:ascii="仿宋" w:hAnsi="仿宋" w:eastAsia="仿宋" w:cs="仿宋"/>
          <w:szCs w:val="32"/>
          <w:highlight w:val="none"/>
          <w:lang w:val="en-US" w:eastAsia="zh-CN"/>
        </w:rPr>
        <w:t>0</w:t>
      </w:r>
      <w:r>
        <w:rPr>
          <w:rFonts w:hint="eastAsia" w:ascii="仿宋" w:hAnsi="仿宋" w:eastAsia="仿宋" w:cs="仿宋"/>
          <w:szCs w:val="32"/>
          <w:highlight w:val="none"/>
        </w:rPr>
        <w:t>万元，资金分配方案对项目支出明细科目进行了具体分解及测算，预算内容与项目内容相匹配。</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本项标准分值4分，评价得分4分。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Cs w:val="36"/>
        </w:rPr>
      </w:pPr>
      <w:r>
        <w:rPr>
          <w:rFonts w:hint="eastAsia" w:ascii="仿宋" w:hAnsi="仿宋" w:eastAsia="仿宋" w:cs="仿宋"/>
          <w:b w:val="0"/>
          <w:bCs w:val="0"/>
          <w:kern w:val="0"/>
          <w:szCs w:val="36"/>
        </w:rPr>
        <w:t>2.3.1.3.2资金分配合理性</w:t>
      </w:r>
    </w:p>
    <w:p>
      <w:pPr>
        <w:spacing w:line="560" w:lineRule="exact"/>
        <w:ind w:firstLine="640" w:firstLineChars="200"/>
        <w:rPr>
          <w:rFonts w:hint="default" w:ascii="仿宋" w:hAnsi="仿宋" w:eastAsia="仿宋" w:cs="仿宋"/>
          <w:szCs w:val="32"/>
          <w:highlight w:val="none"/>
          <w:lang w:val="en-US" w:eastAsia="zh-CN"/>
        </w:rPr>
      </w:pPr>
      <w:r>
        <w:rPr>
          <w:rFonts w:hint="eastAsia" w:ascii="仿宋" w:hAnsi="仿宋" w:eastAsia="仿宋" w:cs="仿宋"/>
          <w:szCs w:val="32"/>
          <w:highlight w:val="none"/>
          <w:lang w:val="en-US" w:eastAsia="zh-CN"/>
        </w:rPr>
        <w:t>该项目的资金分配依据充分、明确，能有效地运用到本项目的检测当中，资金分配额度与项目实施情况相适应。</w:t>
      </w:r>
    </w:p>
    <w:p>
      <w:pPr>
        <w:pStyle w:val="2"/>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本项标准分值</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分，评价得分</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03" w:name="_Toc23495"/>
      <w:bookmarkStart w:id="104" w:name="_Toc13712"/>
      <w:bookmarkStart w:id="105" w:name="_Toc12434"/>
      <w:r>
        <w:rPr>
          <w:rFonts w:hint="eastAsia"/>
        </w:rPr>
        <w:t>2.3.2过程</w:t>
      </w:r>
      <w:bookmarkEnd w:id="103"/>
      <w:bookmarkEnd w:id="104"/>
      <w:bookmarkEnd w:id="105"/>
    </w:p>
    <w:p>
      <w:pPr>
        <w:pStyle w:val="2"/>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过程指标总分值2</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分，实际得分</w:t>
      </w:r>
      <w:r>
        <w:rPr>
          <w:rFonts w:hint="eastAsia" w:ascii="仿宋" w:hAnsi="仿宋" w:eastAsia="仿宋" w:cs="仿宋"/>
          <w:sz w:val="32"/>
          <w:szCs w:val="32"/>
          <w:highlight w:val="none"/>
          <w:lang w:val="en-US" w:eastAsia="zh-CN"/>
        </w:rPr>
        <w:t>19.93</w:t>
      </w:r>
      <w:r>
        <w:rPr>
          <w:rFonts w:hint="eastAsia" w:ascii="仿宋" w:hAnsi="仿宋" w:eastAsia="仿宋" w:cs="仿宋"/>
          <w:sz w:val="32"/>
          <w:szCs w:val="32"/>
          <w:highlight w:val="none"/>
        </w:rPr>
        <w:t>分。</w:t>
      </w:r>
      <w:bookmarkStart w:id="106" w:name="_Hlk53649166"/>
      <w:r>
        <w:rPr>
          <w:rFonts w:hint="eastAsia" w:ascii="仿宋" w:hAnsi="仿宋" w:eastAsia="仿宋" w:cs="仿宋"/>
          <w:sz w:val="32"/>
          <w:szCs w:val="32"/>
          <w:highlight w:val="none"/>
        </w:rPr>
        <w:t>各项指标具体完成情况如下：</w:t>
      </w:r>
      <w:bookmarkEnd w:id="106"/>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2.3.2.1资金管理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2.3.2.1.1资金到位率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Cs w:val="32"/>
        </w:rPr>
      </w:pPr>
      <w:r>
        <w:rPr>
          <w:rFonts w:hint="eastAsia" w:ascii="仿宋" w:hAnsi="仿宋" w:eastAsia="仿宋" w:cs="仿宋"/>
          <w:kern w:val="0"/>
          <w:szCs w:val="32"/>
        </w:rPr>
        <w:t>202</w:t>
      </w:r>
      <w:r>
        <w:rPr>
          <w:rFonts w:hint="eastAsia" w:ascii="仿宋" w:hAnsi="仿宋" w:eastAsia="仿宋" w:cs="仿宋"/>
          <w:kern w:val="0"/>
          <w:szCs w:val="32"/>
          <w:lang w:val="en-US" w:eastAsia="zh-CN"/>
        </w:rPr>
        <w:t>2</w:t>
      </w:r>
      <w:r>
        <w:rPr>
          <w:rFonts w:hint="eastAsia" w:ascii="仿宋" w:hAnsi="仿宋" w:eastAsia="仿宋" w:cs="仿宋"/>
          <w:kern w:val="0"/>
          <w:szCs w:val="32"/>
        </w:rPr>
        <w:t>年</w:t>
      </w:r>
      <w:r>
        <w:rPr>
          <w:rFonts w:hint="eastAsia" w:ascii="仿宋" w:hAnsi="仿宋" w:eastAsia="仿宋" w:cs="仿宋"/>
          <w:kern w:val="0"/>
          <w:szCs w:val="32"/>
          <w:lang w:val="en-US" w:eastAsia="zh-CN"/>
        </w:rPr>
        <w:t>通城</w:t>
      </w:r>
      <w:r>
        <w:rPr>
          <w:rFonts w:hint="eastAsia" w:ascii="仿宋" w:hAnsi="仿宋" w:eastAsia="仿宋" w:cs="仿宋"/>
          <w:kern w:val="0"/>
          <w:szCs w:val="32"/>
        </w:rPr>
        <w:t>县</w:t>
      </w:r>
      <w:r>
        <w:rPr>
          <w:rFonts w:hint="eastAsia" w:ascii="仿宋" w:hAnsi="仿宋" w:eastAsia="仿宋" w:cs="仿宋"/>
          <w:kern w:val="0"/>
          <w:szCs w:val="32"/>
          <w:lang w:val="en-US" w:eastAsia="zh-CN"/>
        </w:rPr>
        <w:t>市场监督管理局食品药品检测</w:t>
      </w:r>
      <w:r>
        <w:rPr>
          <w:rFonts w:hint="eastAsia" w:ascii="仿宋" w:hAnsi="仿宋" w:eastAsia="仿宋" w:cs="仿宋"/>
        </w:rPr>
        <w:t>项目</w:t>
      </w:r>
      <w:r>
        <w:rPr>
          <w:rFonts w:hint="eastAsia" w:ascii="仿宋" w:hAnsi="仿宋" w:eastAsia="仿宋" w:cs="仿宋"/>
          <w:kern w:val="0"/>
          <w:szCs w:val="32"/>
        </w:rPr>
        <w:t>资金</w:t>
      </w:r>
      <w:r>
        <w:rPr>
          <w:rFonts w:hint="eastAsia" w:ascii="仿宋" w:hAnsi="仿宋" w:eastAsia="仿宋" w:cs="仿宋"/>
          <w:kern w:val="0"/>
          <w:szCs w:val="32"/>
          <w:lang w:val="en-US" w:eastAsia="zh-CN"/>
        </w:rPr>
        <w:t>绩效申报230</w:t>
      </w:r>
      <w:r>
        <w:rPr>
          <w:rFonts w:hint="eastAsia" w:ascii="仿宋" w:hAnsi="仿宋" w:eastAsia="仿宋" w:cs="仿宋"/>
          <w:kern w:val="0"/>
          <w:szCs w:val="32"/>
        </w:rPr>
        <w:t>.00万元，</w:t>
      </w:r>
      <w:r>
        <w:rPr>
          <w:rFonts w:hint="eastAsia" w:ascii="仿宋" w:hAnsi="仿宋" w:eastAsia="仿宋" w:cs="仿宋"/>
          <w:kern w:val="0"/>
          <w:szCs w:val="32"/>
          <w:lang w:val="en-US" w:eastAsia="zh-CN"/>
        </w:rPr>
        <w:t>实际拨付到位资金226.00</w:t>
      </w:r>
      <w:r>
        <w:rPr>
          <w:rFonts w:hint="eastAsia" w:ascii="仿宋" w:hAnsi="仿宋" w:eastAsia="仿宋" w:cs="仿宋"/>
          <w:kern w:val="0"/>
          <w:szCs w:val="32"/>
        </w:rPr>
        <w:t>万元</w:t>
      </w:r>
      <w:r>
        <w:rPr>
          <w:rFonts w:hint="eastAsia" w:ascii="仿宋" w:hAnsi="仿宋" w:eastAsia="仿宋" w:cs="仿宋"/>
          <w:kern w:val="0"/>
          <w:szCs w:val="32"/>
          <w:lang w:eastAsia="zh-CN"/>
        </w:rPr>
        <w:t>，</w:t>
      </w:r>
      <w:r>
        <w:rPr>
          <w:rFonts w:hint="eastAsia" w:ascii="仿宋" w:hAnsi="仿宋" w:eastAsia="仿宋" w:cs="仿宋"/>
          <w:kern w:val="0"/>
          <w:szCs w:val="32"/>
          <w:lang w:val="en-US" w:eastAsia="zh-CN"/>
        </w:rPr>
        <w:t>资金到位率98.26%</w:t>
      </w:r>
      <w:r>
        <w:rPr>
          <w:rFonts w:hint="eastAsia" w:ascii="仿宋" w:hAnsi="仿宋" w:eastAsia="仿宋" w:cs="仿宋"/>
          <w:kern w:val="0"/>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3.93</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2.3.2.1.2预算执行率</w:t>
      </w:r>
    </w:p>
    <w:p>
      <w:pPr>
        <w:spacing w:line="560" w:lineRule="exact"/>
        <w:ind w:firstLine="640" w:firstLineChars="200"/>
        <w:rPr>
          <w:rFonts w:hint="eastAsia" w:ascii="仿宋" w:hAnsi="仿宋" w:eastAsia="仿宋" w:cs="仿宋"/>
          <w:szCs w:val="32"/>
        </w:rPr>
      </w:pPr>
      <w:r>
        <w:rPr>
          <w:rFonts w:hint="eastAsia" w:ascii="仿宋" w:hAnsi="仿宋" w:eastAsia="仿宋" w:cs="仿宋"/>
          <w:szCs w:val="32"/>
        </w:rPr>
        <w:t>202</w:t>
      </w:r>
      <w:r>
        <w:rPr>
          <w:rFonts w:hint="eastAsia" w:ascii="仿宋" w:hAnsi="仿宋" w:eastAsia="仿宋" w:cs="仿宋"/>
          <w:szCs w:val="32"/>
          <w:lang w:val="en-US" w:eastAsia="zh-CN"/>
        </w:rPr>
        <w:t>2</w:t>
      </w:r>
      <w:r>
        <w:rPr>
          <w:rFonts w:hint="eastAsia" w:ascii="仿宋" w:hAnsi="仿宋" w:eastAsia="仿宋" w:cs="仿宋"/>
          <w:szCs w:val="32"/>
        </w:rPr>
        <w:t>年通城县</w:t>
      </w:r>
      <w:r>
        <w:rPr>
          <w:rFonts w:hint="eastAsia" w:ascii="仿宋" w:hAnsi="仿宋" w:eastAsia="仿宋" w:cs="仿宋"/>
          <w:szCs w:val="32"/>
          <w:lang w:val="en-US" w:eastAsia="zh-CN"/>
        </w:rPr>
        <w:t>市场监督管理局食品药品检测</w:t>
      </w:r>
      <w:r>
        <w:rPr>
          <w:rFonts w:hint="eastAsia" w:ascii="仿宋" w:hAnsi="仿宋" w:eastAsia="仿宋" w:cs="仿宋"/>
        </w:rPr>
        <w:t>项目</w:t>
      </w:r>
      <w:r>
        <w:rPr>
          <w:rFonts w:hint="eastAsia" w:ascii="仿宋" w:hAnsi="仿宋" w:eastAsia="仿宋" w:cs="仿宋"/>
          <w:lang w:val="en-US" w:eastAsia="zh-CN"/>
        </w:rPr>
        <w:t>到位资金</w:t>
      </w:r>
      <w:r>
        <w:rPr>
          <w:rFonts w:hint="eastAsia" w:ascii="仿宋" w:hAnsi="仿宋" w:eastAsia="仿宋" w:cs="仿宋"/>
          <w:szCs w:val="32"/>
          <w:lang w:val="en-US" w:eastAsia="zh-CN"/>
        </w:rPr>
        <w:t>226.00</w:t>
      </w:r>
      <w:r>
        <w:rPr>
          <w:rFonts w:hint="eastAsia" w:ascii="仿宋" w:hAnsi="仿宋" w:eastAsia="仿宋" w:cs="仿宋"/>
          <w:szCs w:val="32"/>
        </w:rPr>
        <w:t>万元，</w:t>
      </w:r>
      <w:r>
        <w:rPr>
          <w:rFonts w:hint="eastAsia" w:ascii="仿宋" w:hAnsi="仿宋" w:eastAsia="仿宋" w:cs="仿宋"/>
          <w:szCs w:val="32"/>
          <w:lang w:val="en-US" w:eastAsia="zh-CN"/>
        </w:rPr>
        <w:t>实际</w:t>
      </w:r>
      <w:r>
        <w:rPr>
          <w:rFonts w:hint="eastAsia" w:ascii="仿宋" w:hAnsi="仿宋" w:eastAsia="仿宋" w:cs="仿宋"/>
          <w:szCs w:val="32"/>
        </w:rPr>
        <w:t>执行</w:t>
      </w:r>
      <w:r>
        <w:rPr>
          <w:rFonts w:hint="eastAsia" w:ascii="仿宋" w:hAnsi="仿宋" w:eastAsia="仿宋" w:cs="仿宋"/>
          <w:szCs w:val="32"/>
          <w:lang w:val="en-US" w:eastAsia="zh-CN"/>
        </w:rPr>
        <w:t>226</w:t>
      </w:r>
      <w:r>
        <w:rPr>
          <w:rFonts w:hint="eastAsia" w:ascii="仿宋" w:hAnsi="仿宋" w:eastAsia="仿宋" w:cs="仿宋"/>
          <w:szCs w:val="32"/>
        </w:rPr>
        <w:t>.00万元，项目资金结余0.00万元，预算执行率</w:t>
      </w:r>
      <w:r>
        <w:rPr>
          <w:rFonts w:hint="eastAsia" w:ascii="仿宋" w:hAnsi="仿宋" w:eastAsia="仿宋" w:cs="仿宋"/>
          <w:szCs w:val="32"/>
          <w:lang w:val="en-US" w:eastAsia="zh-CN"/>
        </w:rPr>
        <w:t>100</w:t>
      </w:r>
      <w:r>
        <w:rPr>
          <w:rFonts w:hint="eastAsia" w:ascii="仿宋" w:hAnsi="仿宋" w:eastAsia="仿宋" w:cs="仿宋"/>
          <w:szCs w:val="32"/>
        </w:rPr>
        <w:t>%。</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本项标准分值4分，评价得分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2.3.2.1.3资金使用合规性</w:t>
      </w:r>
    </w:p>
    <w:p>
      <w:pPr>
        <w:pStyle w:val="7"/>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通城县市场监督管理局根据该项目的性质，进行年初预算申报，在项目完成后以实际发生金额申报并支付给有关检测单位</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在资金使用的过程中，</w:t>
      </w:r>
      <w:r>
        <w:rPr>
          <w:rFonts w:hint="eastAsia" w:ascii="仿宋" w:hAnsi="仿宋" w:eastAsia="仿宋" w:cs="仿宋"/>
          <w:kern w:val="0"/>
          <w:sz w:val="32"/>
          <w:szCs w:val="32"/>
          <w:highlight w:val="none"/>
        </w:rPr>
        <w:t>符合相关的财务管理制度规定</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lang w:val="en-US" w:eastAsia="zh-CN"/>
        </w:rPr>
        <w:t>资金使用过程规范</w:t>
      </w:r>
      <w:r>
        <w:rPr>
          <w:rFonts w:hint="eastAsia" w:ascii="仿宋" w:hAnsi="仿宋" w:eastAsia="仿宋" w:cs="仿宋"/>
          <w:kern w:val="0"/>
          <w:sz w:val="32"/>
          <w:szCs w:val="32"/>
          <w:highlight w:val="none"/>
          <w:lang w:eastAsia="zh-CN"/>
        </w:rPr>
        <w:t>。</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2.3.2.2组织实施</w:t>
      </w:r>
    </w:p>
    <w:p>
      <w:pPr>
        <w:spacing w:line="560" w:lineRule="exact"/>
        <w:ind w:firstLine="640" w:firstLineChars="200"/>
        <w:rPr>
          <w:rFonts w:hint="eastAsia" w:ascii="仿宋" w:hAnsi="仿宋" w:eastAsia="仿宋" w:cs="仿宋"/>
          <w:b w:val="0"/>
          <w:bCs w:val="0"/>
          <w:kern w:val="0"/>
          <w:szCs w:val="36"/>
        </w:rPr>
      </w:pPr>
      <w:r>
        <w:rPr>
          <w:rFonts w:hint="eastAsia" w:ascii="仿宋" w:hAnsi="仿宋" w:eastAsia="仿宋" w:cs="仿宋"/>
          <w:b w:val="0"/>
          <w:bCs w:val="0"/>
          <w:kern w:val="0"/>
          <w:szCs w:val="36"/>
        </w:rPr>
        <w:t>2.3.2.2.1管理制度健全性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通城县市场监督管理局根据《隽市监发〔2021〕7号》制定了财务管理制度，对财产的管理范围、审批、购置、清查、核销与处置做出了相应的规定，并遵循《国家市场监督管理总局令18号〈产品质量监督抽查管理暂行办法〉》的规定实施抽检工作，管理制度健全。</w:t>
      </w:r>
    </w:p>
    <w:p>
      <w:pPr>
        <w:spacing w:line="560" w:lineRule="exact"/>
        <w:ind w:firstLine="640" w:firstLineChars="200"/>
        <w:rPr>
          <w:rFonts w:hint="eastAsia" w:ascii="仿宋_GB2312" w:hAnsi="仿宋_GB2312" w:eastAsia="仿宋_GB2312" w:cs="仿宋_GB2312"/>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6"/>
          <w:highlight w:val="none"/>
        </w:rPr>
      </w:pPr>
      <w:r>
        <w:rPr>
          <w:rFonts w:hint="eastAsia" w:ascii="仿宋" w:hAnsi="仿宋" w:eastAsia="仿宋" w:cs="仿宋"/>
          <w:b w:val="0"/>
          <w:bCs w:val="0"/>
          <w:kern w:val="0"/>
          <w:szCs w:val="36"/>
          <w:highlight w:val="none"/>
        </w:rPr>
        <w:t>2.3.2.2.2制度执行有效性</w:t>
      </w:r>
    </w:p>
    <w:p>
      <w:pPr>
        <w:spacing w:line="560" w:lineRule="exact"/>
        <w:ind w:firstLine="640" w:firstLineChars="200"/>
        <w:rPr>
          <w:rFonts w:hint="default"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通城县市场监督管理局在实施该项目过程中遵守《国家市场监督管理总局令18号〈产品质量监督抽查管理暂行办法〉》的规定实施抽检工作，实施过程符合本项规定，管理制度执行有效。</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kern w:val="0"/>
          <w:sz w:val="32"/>
          <w:szCs w:val="32"/>
          <w:highlight w:val="none"/>
          <w:lang w:val="en-US" w:eastAsia="zh-CN" w:bidi="ar-SA"/>
        </w:rPr>
      </w:pPr>
      <w:r>
        <w:rPr>
          <w:rFonts w:hint="eastAsia" w:ascii="仿宋" w:hAnsi="仿宋" w:eastAsia="仿宋" w:cs="仿宋"/>
          <w:kern w:val="0"/>
          <w:sz w:val="32"/>
          <w:szCs w:val="32"/>
          <w:highlight w:val="none"/>
          <w:lang w:val="en-US" w:eastAsia="zh-CN" w:bidi="ar-SA"/>
        </w:rPr>
        <w:t>本项标准分值4分，评价得分4分。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07" w:name="_Toc9832"/>
      <w:bookmarkStart w:id="108" w:name="_Toc27876"/>
      <w:bookmarkStart w:id="109" w:name="_Toc14159"/>
      <w:r>
        <w:rPr>
          <w:rFonts w:hint="eastAsia"/>
        </w:rPr>
        <w:t>2.3.3产出</w:t>
      </w:r>
      <w:bookmarkEnd w:id="107"/>
      <w:bookmarkEnd w:id="108"/>
      <w:bookmarkEnd w:id="10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Cs w:val="32"/>
          <w:highlight w:val="none"/>
        </w:rPr>
      </w:pPr>
      <w:r>
        <w:rPr>
          <w:rFonts w:hint="eastAsia" w:ascii="仿宋" w:hAnsi="仿宋" w:eastAsia="仿宋" w:cs="仿宋"/>
          <w:szCs w:val="32"/>
          <w:highlight w:val="none"/>
        </w:rPr>
        <w:t>产出指标总分值</w:t>
      </w:r>
      <w:r>
        <w:rPr>
          <w:rFonts w:hint="eastAsia" w:ascii="仿宋" w:hAnsi="仿宋" w:eastAsia="仿宋" w:cs="仿宋"/>
          <w:szCs w:val="32"/>
          <w:highlight w:val="none"/>
          <w:lang w:val="en-US" w:eastAsia="zh-CN"/>
        </w:rPr>
        <w:t>4</w:t>
      </w:r>
      <w:r>
        <w:rPr>
          <w:rFonts w:hint="eastAsia" w:ascii="仿宋" w:hAnsi="仿宋" w:eastAsia="仿宋" w:cs="仿宋"/>
          <w:szCs w:val="32"/>
          <w:highlight w:val="none"/>
        </w:rPr>
        <w:t>0分，实际得分</w:t>
      </w:r>
      <w:r>
        <w:rPr>
          <w:rFonts w:hint="eastAsia" w:ascii="仿宋" w:hAnsi="仿宋" w:eastAsia="仿宋" w:cs="仿宋"/>
          <w:szCs w:val="32"/>
          <w:highlight w:val="none"/>
          <w:lang w:val="en-US" w:eastAsia="zh-CN"/>
        </w:rPr>
        <w:t>29.5</w:t>
      </w:r>
      <w:r>
        <w:rPr>
          <w:rFonts w:hint="eastAsia" w:ascii="仿宋" w:hAnsi="仿宋" w:eastAsia="仿宋" w:cs="仿宋"/>
          <w:szCs w:val="32"/>
          <w:highlight w:val="none"/>
        </w:rPr>
        <w:t>分。各项指标具体完成情况如下：</w:t>
      </w:r>
    </w:p>
    <w:p>
      <w:p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2.3.3.1产出数量</w:t>
      </w:r>
    </w:p>
    <w:p>
      <w:p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2.3.3.1.1食品药品检测批次</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通城县市场监督管理局计划在2022年抽检食品药品信息1,800个，实际完成抽检信息1,800个。</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本项标准分值</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分，评价得分</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w:t>
      </w:r>
    </w:p>
    <w:p>
      <w:pPr>
        <w:spacing w:line="560" w:lineRule="exact"/>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2.3.3.1.</w:t>
      </w:r>
      <w:r>
        <w:rPr>
          <w:rFonts w:hint="eastAsia" w:ascii="仿宋" w:hAnsi="仿宋" w:eastAsia="仿宋" w:cs="仿宋"/>
          <w:b w:val="0"/>
          <w:bCs w:val="0"/>
          <w:sz w:val="32"/>
          <w:szCs w:val="32"/>
          <w:highlight w:val="none"/>
          <w:lang w:val="en-US" w:eastAsia="zh-CN"/>
        </w:rPr>
        <w:t>2工业产品</w:t>
      </w:r>
      <w:r>
        <w:rPr>
          <w:rFonts w:hint="eastAsia" w:ascii="仿宋" w:hAnsi="仿宋" w:eastAsia="仿宋" w:cs="仿宋"/>
          <w:b w:val="0"/>
          <w:bCs w:val="0"/>
          <w:sz w:val="32"/>
          <w:szCs w:val="32"/>
          <w:highlight w:val="none"/>
        </w:rPr>
        <w:t>检测批次</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通城县市场监督管理局计划在2022年抽检工业产品检测信息190个，实际完成抽检信息190个。</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 w:hAnsi="仿宋" w:eastAsia="仿宋" w:cs="仿宋"/>
          <w:sz w:val="32"/>
          <w:szCs w:val="32"/>
          <w:highlight w:val="none"/>
        </w:rPr>
        <w:t>本项标准分值</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分，评价得分</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分。</w:t>
      </w:r>
    </w:p>
    <w:p>
      <w:pPr>
        <w:spacing w:line="560" w:lineRule="exact"/>
        <w:ind w:firstLine="640" w:firstLineChars="200"/>
        <w:rPr>
          <w:rFonts w:hint="eastAsia" w:ascii="仿宋" w:hAnsi="仿宋" w:eastAsia="仿宋" w:cs="仿宋"/>
          <w:b w:val="0"/>
          <w:bCs w:val="0"/>
          <w:szCs w:val="32"/>
          <w:highlight w:val="none"/>
        </w:rPr>
      </w:pPr>
      <w:r>
        <w:rPr>
          <w:rFonts w:hint="eastAsia" w:ascii="仿宋" w:hAnsi="仿宋" w:eastAsia="仿宋" w:cs="仿宋"/>
          <w:b w:val="0"/>
          <w:bCs w:val="0"/>
          <w:szCs w:val="32"/>
          <w:highlight w:val="none"/>
        </w:rPr>
        <w:t>2.3.3.2产出质量</w:t>
      </w:r>
    </w:p>
    <w:p>
      <w:pPr>
        <w:spacing w:line="560" w:lineRule="exact"/>
        <w:ind w:firstLine="640" w:firstLineChars="200"/>
        <w:rPr>
          <w:rFonts w:hint="eastAsia" w:ascii="仿宋" w:hAnsi="仿宋" w:eastAsia="仿宋" w:cs="仿宋"/>
          <w:b w:val="0"/>
          <w:bCs w:val="0"/>
          <w:szCs w:val="32"/>
          <w:highlight w:val="none"/>
        </w:rPr>
      </w:pPr>
      <w:r>
        <w:rPr>
          <w:rFonts w:hint="eastAsia" w:ascii="仿宋" w:hAnsi="仿宋" w:eastAsia="仿宋" w:cs="仿宋"/>
          <w:b w:val="0"/>
          <w:bCs w:val="0"/>
          <w:szCs w:val="32"/>
          <w:highlight w:val="none"/>
          <w:lang w:val="en-US" w:eastAsia="zh-CN"/>
        </w:rPr>
        <w:t>2.3.3.2.1</w:t>
      </w:r>
      <w:r>
        <w:rPr>
          <w:rFonts w:hint="eastAsia" w:ascii="仿宋" w:hAnsi="仿宋" w:eastAsia="仿宋" w:cs="仿宋"/>
          <w:b w:val="0"/>
          <w:bCs w:val="0"/>
          <w:szCs w:val="32"/>
          <w:highlight w:val="none"/>
        </w:rPr>
        <w:t>不合格食品及工业产品核查处置率</w:t>
      </w:r>
    </w:p>
    <w:p>
      <w:pPr>
        <w:spacing w:line="560" w:lineRule="exact"/>
        <w:ind w:firstLine="640" w:firstLineChars="200"/>
        <w:rPr>
          <w:rFonts w:hint="eastAsia" w:ascii="仿宋" w:hAnsi="仿宋" w:eastAsia="仿宋" w:cs="仿宋"/>
          <w:szCs w:val="32"/>
          <w:highlight w:val="none"/>
          <w:lang w:val="en-US"/>
        </w:rPr>
      </w:pPr>
      <w:r>
        <w:rPr>
          <w:rFonts w:hint="eastAsia" w:ascii="仿宋" w:hAnsi="仿宋" w:eastAsia="仿宋" w:cs="仿宋"/>
          <w:szCs w:val="32"/>
          <w:highlight w:val="none"/>
          <w:lang w:val="en-US" w:eastAsia="zh-CN"/>
        </w:rPr>
        <w:t>2022年通城县市场监督管理局检测不合格食品及工业产品共计58个，处置不合格食品及工业产品共计65个。</w:t>
      </w:r>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3</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3</w:t>
      </w:r>
      <w:r>
        <w:rPr>
          <w:rFonts w:hint="eastAsia" w:ascii="仿宋" w:hAnsi="仿宋" w:eastAsia="仿宋" w:cs="仿宋"/>
          <w:szCs w:val="32"/>
          <w:highlight w:val="none"/>
        </w:rPr>
        <w:t>分。</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2.3.3.2</w:t>
      </w:r>
      <w:r>
        <w:rPr>
          <w:rFonts w:hint="eastAsia" w:ascii="仿宋" w:hAnsi="仿宋" w:eastAsia="仿宋" w:cs="仿宋"/>
          <w:b w:val="0"/>
          <w:bCs w:val="0"/>
          <w:sz w:val="32"/>
          <w:szCs w:val="32"/>
          <w:highlight w:val="none"/>
          <w:lang w:val="en-US" w:eastAsia="zh-CN"/>
        </w:rPr>
        <w:t>.2</w:t>
      </w:r>
      <w:r>
        <w:rPr>
          <w:rFonts w:hint="eastAsia" w:ascii="仿宋" w:hAnsi="仿宋" w:eastAsia="仿宋" w:cs="仿宋"/>
          <w:b w:val="0"/>
          <w:bCs w:val="0"/>
          <w:sz w:val="32"/>
          <w:szCs w:val="32"/>
          <w:highlight w:val="none"/>
        </w:rPr>
        <w:t>重大违法案件查办率</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该项目2022年未发生重大违法案件。</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本项标准分值3分，评价得分3分。</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rPr>
        <w:t>2.3.3.2</w:t>
      </w:r>
      <w:r>
        <w:rPr>
          <w:rFonts w:hint="eastAsia" w:ascii="仿宋" w:hAnsi="仿宋" w:eastAsia="仿宋" w:cs="仿宋"/>
          <w:b w:val="0"/>
          <w:bCs w:val="0"/>
          <w:sz w:val="32"/>
          <w:szCs w:val="32"/>
          <w:highlight w:val="none"/>
          <w:lang w:val="en-US" w:eastAsia="zh-CN"/>
        </w:rPr>
        <w:t>.3</w:t>
      </w:r>
      <w:r>
        <w:rPr>
          <w:rFonts w:hint="eastAsia" w:ascii="仿宋" w:hAnsi="仿宋" w:eastAsia="仿宋" w:cs="仿宋"/>
          <w:b w:val="0"/>
          <w:bCs w:val="0"/>
          <w:sz w:val="32"/>
          <w:szCs w:val="32"/>
          <w:highlight w:val="none"/>
        </w:rPr>
        <w:t>抽检信息公开情况</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根据现场核查食品抽检公开数合计1,586个，工业产品抽检公开数合计115个，合计抽检信息公开1,701个，该项目实际抽检共计1,990个，抽检信息公开率85.48%，未达到100%。</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本项标准分值10分，评价得分0分。</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2.3.3.2.4出具产品检测报告内容披露明细程度</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根据现场对检测报告的核查，检测服务机构出具的检测报告内容对检测产品的名称类别、所含元素类型符合安全标准均有详细的信息披露。</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本项标准分值5分，评价得分5分。</w:t>
      </w:r>
    </w:p>
    <w:p>
      <w:pPr>
        <w:spacing w:line="560" w:lineRule="exact"/>
        <w:ind w:firstLine="640" w:firstLineChars="200"/>
        <w:rPr>
          <w:rFonts w:hint="eastAsia" w:ascii="仿宋" w:hAnsi="仿宋" w:eastAsia="仿宋" w:cs="仿宋"/>
          <w:b w:val="0"/>
          <w:bCs w:val="0"/>
          <w:szCs w:val="32"/>
          <w:highlight w:val="none"/>
          <w:lang w:val="en-US" w:eastAsia="zh-CN"/>
        </w:rPr>
      </w:pPr>
      <w:r>
        <w:rPr>
          <w:rFonts w:hint="eastAsia" w:ascii="仿宋" w:hAnsi="仿宋" w:eastAsia="仿宋" w:cs="仿宋"/>
          <w:b w:val="0"/>
          <w:bCs w:val="0"/>
          <w:szCs w:val="32"/>
          <w:highlight w:val="none"/>
        </w:rPr>
        <w:t>2.3.3.</w:t>
      </w:r>
      <w:r>
        <w:rPr>
          <w:rFonts w:hint="eastAsia" w:ascii="仿宋" w:hAnsi="仿宋" w:eastAsia="仿宋" w:cs="仿宋"/>
          <w:b w:val="0"/>
          <w:bCs w:val="0"/>
          <w:szCs w:val="32"/>
          <w:highlight w:val="none"/>
          <w:lang w:val="en-US" w:eastAsia="zh-CN"/>
        </w:rPr>
        <w:t>3</w:t>
      </w:r>
      <w:r>
        <w:rPr>
          <w:rFonts w:hint="eastAsia" w:ascii="仿宋" w:hAnsi="仿宋" w:eastAsia="仿宋" w:cs="仿宋"/>
          <w:b w:val="0"/>
          <w:bCs w:val="0"/>
          <w:szCs w:val="32"/>
          <w:highlight w:val="none"/>
        </w:rPr>
        <w:t>产出</w:t>
      </w:r>
      <w:r>
        <w:rPr>
          <w:rFonts w:hint="eastAsia" w:ascii="仿宋" w:hAnsi="仿宋" w:eastAsia="仿宋" w:cs="仿宋"/>
          <w:b w:val="0"/>
          <w:bCs w:val="0"/>
          <w:szCs w:val="32"/>
          <w:highlight w:val="none"/>
          <w:lang w:val="en-US" w:eastAsia="zh-CN"/>
        </w:rPr>
        <w:t>时效</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2.3.3.3.1项目按期完成情况</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按照通城县市场监督管理局《关于开展2022年度产品质量监督抽查工作的通知》规定，柴油车尾气处理液车用尿素液（AUS32）项目检查应于2022年11月30日之前完成，实际完成时间在2022年12月8日，完成抽检工作时间滞后。</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 w:hAnsi="仿宋" w:eastAsia="仿宋" w:cs="仿宋"/>
          <w:sz w:val="32"/>
          <w:szCs w:val="32"/>
          <w:highlight w:val="none"/>
          <w:lang w:val="en-US" w:eastAsia="zh-CN"/>
        </w:rPr>
        <w:t>本项标准分值5分，评价得分4.5分。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10" w:name="_Toc28802"/>
      <w:bookmarkStart w:id="111" w:name="_Toc30858"/>
      <w:bookmarkStart w:id="112" w:name="_Toc8853"/>
      <w:r>
        <w:rPr>
          <w:rFonts w:hint="eastAsia"/>
        </w:rPr>
        <w:t>2.3.4效果</w:t>
      </w:r>
      <w:bookmarkEnd w:id="110"/>
      <w:bookmarkEnd w:id="111"/>
      <w:bookmarkEnd w:id="112"/>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效果指标总分值</w:t>
      </w:r>
      <w:r>
        <w:rPr>
          <w:rFonts w:hint="eastAsia" w:ascii="仿宋" w:hAnsi="仿宋" w:eastAsia="仿宋" w:cs="仿宋"/>
          <w:szCs w:val="32"/>
          <w:highlight w:val="none"/>
          <w:lang w:val="en-US" w:eastAsia="zh-CN"/>
        </w:rPr>
        <w:t>2</w:t>
      </w:r>
      <w:r>
        <w:rPr>
          <w:rFonts w:hint="eastAsia" w:ascii="仿宋" w:hAnsi="仿宋" w:eastAsia="仿宋" w:cs="仿宋"/>
          <w:szCs w:val="32"/>
          <w:highlight w:val="none"/>
        </w:rPr>
        <w:t>0分，实际得分</w:t>
      </w:r>
      <w:r>
        <w:rPr>
          <w:rFonts w:hint="eastAsia" w:ascii="仿宋" w:hAnsi="仿宋" w:eastAsia="仿宋" w:cs="仿宋"/>
          <w:szCs w:val="32"/>
          <w:highlight w:val="none"/>
          <w:lang w:val="en-US" w:eastAsia="zh-CN"/>
        </w:rPr>
        <w:t>20</w:t>
      </w:r>
      <w:r>
        <w:rPr>
          <w:rFonts w:hint="eastAsia" w:ascii="仿宋" w:hAnsi="仿宋" w:eastAsia="仿宋" w:cs="仿宋"/>
          <w:szCs w:val="32"/>
          <w:highlight w:val="none"/>
        </w:rPr>
        <w:t>分。各项指标具体完成情况如下：</w:t>
      </w:r>
    </w:p>
    <w:p>
      <w:pPr>
        <w:spacing w:line="560" w:lineRule="exact"/>
        <w:ind w:firstLine="640" w:firstLineChars="200"/>
        <w:rPr>
          <w:rFonts w:hint="eastAsia" w:ascii="仿宋" w:hAnsi="仿宋" w:eastAsia="仿宋" w:cs="仿宋"/>
          <w:b w:val="0"/>
          <w:bCs w:val="0"/>
          <w:kern w:val="0"/>
          <w:szCs w:val="32"/>
          <w:highlight w:val="none"/>
        </w:rPr>
      </w:pPr>
      <w:r>
        <w:rPr>
          <w:rFonts w:hint="eastAsia" w:ascii="仿宋" w:hAnsi="仿宋" w:eastAsia="仿宋" w:cs="仿宋"/>
          <w:b w:val="0"/>
          <w:bCs w:val="0"/>
          <w:kern w:val="0"/>
          <w:szCs w:val="32"/>
          <w:highlight w:val="none"/>
        </w:rPr>
        <w:t xml:space="preserve">2.3.4.1社会效益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highlight w:val="none"/>
        </w:rPr>
      </w:pPr>
      <w:r>
        <w:rPr>
          <w:rFonts w:hint="eastAsia" w:ascii="仿宋" w:hAnsi="仿宋" w:eastAsia="仿宋" w:cs="仿宋"/>
          <w:szCs w:val="32"/>
          <w:highlight w:val="none"/>
          <w:lang w:val="en-US" w:eastAsia="zh-CN"/>
        </w:rPr>
        <w:t>根据调查问卷，调查对象认为</w:t>
      </w:r>
      <w:r>
        <w:rPr>
          <w:rFonts w:hint="eastAsia" w:ascii="仿宋" w:hAnsi="仿宋" w:eastAsia="仿宋" w:cs="仿宋"/>
          <w:sz w:val="32"/>
          <w:szCs w:val="32"/>
          <w:highlight w:val="none"/>
          <w:lang w:val="en-US" w:eastAsia="zh-CN"/>
        </w:rPr>
        <w:t>市场监督管理局通过合理利用抽检信息，能够提升全县企业产品质量、整合资源，通过严格管理，能够提升全县检验检测水平及能力，大力推进质量建设工作，社会效益达到预期</w:t>
      </w:r>
      <w:r>
        <w:rPr>
          <w:rFonts w:hint="eastAsia" w:ascii="仿宋" w:hAnsi="仿宋" w:eastAsia="仿宋" w:cs="仿宋"/>
          <w:szCs w:val="32"/>
          <w:highlight w:val="none"/>
        </w:rPr>
        <w:t>。</w:t>
      </w:r>
    </w:p>
    <w:p>
      <w:pPr>
        <w:spacing w:line="560" w:lineRule="exact"/>
        <w:ind w:firstLine="640" w:firstLineChars="200"/>
        <w:rPr>
          <w:rFonts w:hint="eastAsia" w:ascii="仿宋_GB2312" w:hAnsi="仿宋_GB2312" w:eastAsia="仿宋_GB2312" w:cs="仿宋_GB2312"/>
          <w:szCs w:val="32"/>
          <w:highlight w:val="none"/>
        </w:rPr>
      </w:pPr>
      <w:r>
        <w:rPr>
          <w:rFonts w:hint="eastAsia" w:ascii="仿宋" w:hAnsi="仿宋" w:eastAsia="仿宋" w:cs="仿宋"/>
          <w:szCs w:val="32"/>
          <w:highlight w:val="none"/>
        </w:rPr>
        <w:t>本项标准分值</w:t>
      </w:r>
      <w:r>
        <w:rPr>
          <w:rFonts w:hint="eastAsia" w:ascii="仿宋" w:hAnsi="仿宋" w:eastAsia="仿宋" w:cs="仿宋"/>
          <w:szCs w:val="32"/>
          <w:highlight w:val="none"/>
          <w:lang w:val="en-US" w:eastAsia="zh-CN"/>
        </w:rPr>
        <w:t>10</w:t>
      </w:r>
      <w:r>
        <w:rPr>
          <w:rFonts w:hint="eastAsia" w:ascii="仿宋" w:hAnsi="仿宋" w:eastAsia="仿宋" w:cs="仿宋"/>
          <w:szCs w:val="32"/>
          <w:highlight w:val="none"/>
        </w:rPr>
        <w:t>分，评价得分</w:t>
      </w:r>
      <w:r>
        <w:rPr>
          <w:rFonts w:hint="eastAsia" w:ascii="仿宋" w:hAnsi="仿宋" w:eastAsia="仿宋" w:cs="仿宋"/>
          <w:szCs w:val="32"/>
          <w:highlight w:val="none"/>
          <w:lang w:val="en-US" w:eastAsia="zh-CN"/>
        </w:rPr>
        <w:t>10</w:t>
      </w:r>
      <w:r>
        <w:rPr>
          <w:rFonts w:hint="eastAsia" w:ascii="仿宋" w:hAnsi="仿宋" w:eastAsia="仿宋" w:cs="仿宋"/>
          <w:szCs w:val="32"/>
          <w:highlight w:val="none"/>
        </w:rPr>
        <w:t>分。</w:t>
      </w:r>
    </w:p>
    <w:p>
      <w:pPr>
        <w:spacing w:line="560" w:lineRule="exact"/>
        <w:ind w:firstLine="640" w:firstLineChars="200"/>
        <w:rPr>
          <w:rFonts w:hint="eastAsia" w:ascii="仿宋" w:hAnsi="仿宋" w:eastAsia="仿宋" w:cs="仿宋"/>
          <w:b w:val="0"/>
          <w:bCs w:val="0"/>
          <w:kern w:val="0"/>
          <w:szCs w:val="32"/>
          <w:highlight w:val="none"/>
          <w:lang w:val="en-US" w:eastAsia="zh-CN"/>
        </w:rPr>
      </w:pPr>
      <w:r>
        <w:rPr>
          <w:rFonts w:hint="eastAsia" w:ascii="仿宋" w:hAnsi="仿宋" w:eastAsia="仿宋" w:cs="仿宋"/>
          <w:b w:val="0"/>
          <w:bCs w:val="0"/>
          <w:kern w:val="0"/>
          <w:szCs w:val="32"/>
          <w:highlight w:val="none"/>
        </w:rPr>
        <w:t>2.3.4.2</w:t>
      </w:r>
      <w:r>
        <w:rPr>
          <w:rFonts w:hint="eastAsia" w:ascii="仿宋" w:hAnsi="仿宋" w:eastAsia="仿宋" w:cs="仿宋"/>
          <w:b w:val="0"/>
          <w:bCs w:val="0"/>
          <w:kern w:val="0"/>
          <w:szCs w:val="32"/>
          <w:highlight w:val="none"/>
          <w:lang w:val="en-US" w:eastAsia="zh-CN"/>
        </w:rPr>
        <w:t>满意度</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针对市场监督管理局的监督工作、查处违规产品、查处力度和执法态度等方面，</w:t>
      </w:r>
      <w:r>
        <w:rPr>
          <w:rFonts w:hint="eastAsia" w:ascii="仿宋" w:hAnsi="仿宋" w:eastAsia="仿宋" w:cs="仿宋"/>
          <w:sz w:val="32"/>
          <w:szCs w:val="32"/>
          <w:highlight w:val="none"/>
        </w:rPr>
        <w:t>对</w:t>
      </w:r>
      <w:r>
        <w:rPr>
          <w:rFonts w:hint="eastAsia" w:ascii="仿宋" w:hAnsi="仿宋" w:eastAsia="仿宋" w:cs="仿宋"/>
          <w:sz w:val="32"/>
          <w:szCs w:val="32"/>
          <w:highlight w:val="none"/>
          <w:lang w:val="en-US" w:eastAsia="zh-CN"/>
        </w:rPr>
        <w:t>受益群众</w:t>
      </w:r>
      <w:r>
        <w:rPr>
          <w:rFonts w:hint="eastAsia" w:ascii="仿宋" w:hAnsi="仿宋" w:eastAsia="仿宋" w:cs="仿宋"/>
          <w:sz w:val="32"/>
          <w:szCs w:val="32"/>
          <w:highlight w:val="none"/>
        </w:rPr>
        <w:t>发放调查问卷</w:t>
      </w:r>
      <w:r>
        <w:rPr>
          <w:rFonts w:hint="eastAsia" w:ascii="仿宋" w:hAnsi="仿宋" w:eastAsia="仿宋" w:cs="仿宋"/>
          <w:sz w:val="32"/>
          <w:szCs w:val="32"/>
          <w:highlight w:val="none"/>
          <w:lang w:val="en-US" w:eastAsia="zh-CN"/>
        </w:rPr>
        <w:t>共计31</w:t>
      </w:r>
      <w:r>
        <w:rPr>
          <w:rFonts w:hint="eastAsia" w:ascii="仿宋" w:hAnsi="仿宋" w:eastAsia="仿宋" w:cs="仿宋"/>
          <w:sz w:val="32"/>
          <w:szCs w:val="32"/>
          <w:highlight w:val="none"/>
        </w:rPr>
        <w:t>份，回收有效的调查问卷共计31份，</w:t>
      </w:r>
      <w:r>
        <w:rPr>
          <w:rFonts w:hint="eastAsia" w:ascii="仿宋" w:hAnsi="仿宋" w:eastAsia="仿宋" w:cs="仿宋"/>
          <w:sz w:val="32"/>
          <w:szCs w:val="32"/>
          <w:highlight w:val="none"/>
          <w:lang w:val="en-US" w:eastAsia="zh-CN"/>
        </w:rPr>
        <w:t>其中，</w:t>
      </w:r>
      <w:r>
        <w:rPr>
          <w:rFonts w:hint="eastAsia" w:ascii="仿宋" w:hAnsi="仿宋" w:eastAsia="仿宋" w:cs="仿宋"/>
          <w:sz w:val="32"/>
          <w:szCs w:val="32"/>
          <w:highlight w:val="none"/>
        </w:rPr>
        <w:t>满意的调查问卷</w:t>
      </w:r>
      <w:r>
        <w:rPr>
          <w:rFonts w:hint="eastAsia" w:ascii="仿宋" w:hAnsi="仿宋" w:eastAsia="仿宋" w:cs="仿宋"/>
          <w:sz w:val="32"/>
          <w:szCs w:val="32"/>
          <w:highlight w:val="none"/>
          <w:lang w:val="en-US" w:eastAsia="zh-CN"/>
        </w:rPr>
        <w:t>31</w:t>
      </w:r>
      <w:r>
        <w:rPr>
          <w:rFonts w:hint="eastAsia" w:ascii="仿宋" w:hAnsi="仿宋" w:eastAsia="仿宋" w:cs="仿宋"/>
          <w:sz w:val="32"/>
          <w:szCs w:val="32"/>
          <w:highlight w:val="none"/>
        </w:rPr>
        <w:t>份，</w:t>
      </w:r>
      <w:r>
        <w:rPr>
          <w:rFonts w:hint="eastAsia" w:ascii="仿宋" w:hAnsi="仿宋" w:eastAsia="仿宋" w:cs="仿宋"/>
          <w:sz w:val="32"/>
          <w:szCs w:val="32"/>
          <w:highlight w:val="none"/>
          <w:lang w:val="en-US" w:eastAsia="zh-CN"/>
        </w:rPr>
        <w:t>不满意的调查问卷0份，群众满意度100%，满意度较高</w:t>
      </w:r>
      <w:r>
        <w:rPr>
          <w:rFonts w:hint="eastAsia" w:ascii="仿宋" w:hAnsi="仿宋" w:eastAsia="仿宋" w:cs="仿宋"/>
          <w:sz w:val="32"/>
          <w:szCs w:val="32"/>
          <w:highlight w:val="none"/>
        </w:rPr>
        <w:t>。</w:t>
      </w:r>
    </w:p>
    <w:p>
      <w:pPr>
        <w:pStyle w:val="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 w:hAnsi="仿宋" w:eastAsia="仿宋" w:cs="仿宋"/>
          <w:sz w:val="32"/>
          <w:szCs w:val="32"/>
          <w:highlight w:val="none"/>
        </w:rPr>
        <w:t>本项标准分值10分，评价得分</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分。</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13" w:name="_Toc5724"/>
      <w:bookmarkStart w:id="114" w:name="_Toc28129"/>
      <w:bookmarkStart w:id="115" w:name="_Toc29708"/>
      <w:r>
        <w:rPr>
          <w:rFonts w:hint="eastAsia"/>
        </w:rPr>
        <w:t>2.4上年度评价结果应用情况</w:t>
      </w:r>
      <w:bookmarkEnd w:id="113"/>
      <w:bookmarkEnd w:id="114"/>
      <w:bookmarkEnd w:id="115"/>
    </w:p>
    <w:p>
      <w:pPr>
        <w:spacing w:line="560" w:lineRule="exact"/>
        <w:ind w:firstLine="640" w:firstLineChars="200"/>
        <w:rPr>
          <w:rFonts w:hint="eastAsia" w:ascii="仿宋_GB2312" w:hAnsi="仿宋_GB2312" w:eastAsia="仿宋_GB2312" w:cs="仿宋_GB2312"/>
          <w:highlight w:val="none"/>
        </w:rPr>
      </w:pPr>
      <w:r>
        <w:rPr>
          <w:rFonts w:hint="eastAsia" w:ascii="仿宋" w:hAnsi="仿宋" w:eastAsia="仿宋" w:cs="仿宋"/>
          <w:highlight w:val="none"/>
          <w:lang w:val="en-US" w:eastAsia="zh-CN"/>
        </w:rPr>
        <w:t>本次绩效评价工作中，评价小组未能获得市场监督管理局以前年度绩效评价结果的应用情况相关资料，视同以前年度绩效评价结果未有效应用</w:t>
      </w:r>
      <w:r>
        <w:rPr>
          <w:rFonts w:hint="eastAsia" w:ascii="仿宋" w:hAnsi="仿宋" w:eastAsia="仿宋" w:cs="仿宋"/>
          <w:highlight w:val="none"/>
        </w:rPr>
        <w:t>。</w:t>
      </w:r>
    </w:p>
    <w:p>
      <w:pPr>
        <w:pStyle w:val="4"/>
        <w:keepNext/>
        <w:keepLines/>
        <w:pageBreakBefore w:val="0"/>
        <w:widowControl w:val="0"/>
        <w:kinsoku/>
        <w:wordWrap/>
        <w:overflowPunct/>
        <w:topLinePunct w:val="0"/>
        <w:autoSpaceDE/>
        <w:autoSpaceDN/>
        <w:bidi w:val="0"/>
        <w:adjustRightInd/>
        <w:snapToGrid/>
        <w:ind w:left="0" w:leftChars="0" w:firstLine="643" w:firstLineChars="200"/>
        <w:textAlignment w:val="auto"/>
        <w:rPr>
          <w:rFonts w:hint="eastAsia"/>
        </w:rPr>
      </w:pPr>
      <w:bookmarkStart w:id="116" w:name="_Toc17247"/>
      <w:bookmarkStart w:id="117" w:name="_Toc24350"/>
      <w:bookmarkStart w:id="118" w:name="_Toc32121"/>
      <w:r>
        <w:rPr>
          <w:rFonts w:hint="eastAsia"/>
        </w:rPr>
        <w:t>2.5其他佐证材料</w:t>
      </w:r>
      <w:bookmarkEnd w:id="116"/>
      <w:bookmarkEnd w:id="117"/>
      <w:bookmarkEnd w:id="118"/>
    </w:p>
    <w:p>
      <w:pPr>
        <w:spacing w:line="560" w:lineRule="exact"/>
        <w:ind w:firstLine="640" w:firstLineChars="200"/>
        <w:rPr>
          <w:rFonts w:hint="eastAsia" w:ascii="仿宋" w:hAnsi="仿宋" w:eastAsia="仿宋" w:cs="仿宋"/>
          <w:szCs w:val="32"/>
          <w:highlight w:val="none"/>
        </w:rPr>
      </w:pPr>
      <w:r>
        <w:rPr>
          <w:rFonts w:hint="eastAsia" w:ascii="仿宋" w:hAnsi="仿宋" w:eastAsia="仿宋" w:cs="仿宋"/>
          <w:szCs w:val="32"/>
          <w:highlight w:val="none"/>
        </w:rPr>
        <w:t>根据项目特点和实际情况，未聘请专家对项目进行专家评审。</w:t>
      </w:r>
    </w:p>
    <w:p>
      <w:pPr>
        <w:bidi w:val="0"/>
        <w:rPr>
          <w:rFonts w:hint="eastAsia"/>
        </w:rPr>
      </w:pPr>
      <w:bookmarkStart w:id="119" w:name="_Toc11060"/>
      <w:bookmarkStart w:id="120" w:name="_Toc3727"/>
    </w:p>
    <w:p>
      <w:pPr>
        <w:pStyle w:val="3"/>
        <w:ind w:firstLine="633"/>
        <w:rPr>
          <w:rFonts w:hint="eastAsia"/>
          <w:highlight w:val="none"/>
        </w:rPr>
      </w:pPr>
      <w:bookmarkStart w:id="121" w:name="_Toc28622"/>
      <w:r>
        <w:rPr>
          <w:rFonts w:hint="eastAsia"/>
          <w:highlight w:val="none"/>
        </w:rPr>
        <w:t>3原始资料</w:t>
      </w:r>
      <w:bookmarkEnd w:id="119"/>
      <w:bookmarkEnd w:id="120"/>
      <w:bookmarkEnd w:id="121"/>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3.1绩效评价评分表</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3.2资金执行情况表</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3.3调查问卷统计表</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3.4访谈提纲及记录</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3.5现场照片</w:t>
      </w:r>
    </w:p>
    <w:p>
      <w:pPr>
        <w:pStyle w:val="2"/>
        <w:rPr>
          <w:rFonts w:hint="eastAsia" w:ascii="仿宋" w:hAnsi="仿宋" w:eastAsia="仿宋" w:cs="仿宋"/>
          <w:sz w:val="32"/>
          <w:szCs w:val="32"/>
          <w:highlight w:val="none"/>
          <w:lang w:val="en-US" w:eastAsia="zh-CN"/>
        </w:rPr>
      </w:pPr>
    </w:p>
    <w:p>
      <w:pPr>
        <w:pStyle w:val="2"/>
        <w:rPr>
          <w:rFonts w:hint="eastAsia" w:ascii="仿宋" w:hAnsi="仿宋" w:eastAsia="仿宋" w:cs="仿宋"/>
          <w:sz w:val="32"/>
          <w:szCs w:val="32"/>
          <w:highlight w:val="none"/>
          <w:lang w:val="en-US" w:eastAsia="zh-CN"/>
        </w:rPr>
      </w:pPr>
    </w:p>
    <w:p>
      <w:pPr>
        <w:pStyle w:val="2"/>
        <w:rPr>
          <w:rFonts w:hint="eastAsia" w:ascii="仿宋_GB2312" w:hAnsi="仿宋_GB2312" w:eastAsia="仿宋_GB2312" w:cs="仿宋_GB2312"/>
          <w:szCs w:val="32"/>
          <w:highlight w:val="none"/>
        </w:rPr>
      </w:pPr>
    </w:p>
    <w:p>
      <w:pPr>
        <w:spacing w:line="560" w:lineRule="exact"/>
        <w:rPr>
          <w:rFonts w:hint="eastAsia" w:ascii="仿宋" w:hAnsi="仿宋" w:eastAsia="仿宋" w:cs="仿宋"/>
          <w:highlight w:val="none"/>
        </w:rPr>
      </w:pPr>
    </w:p>
    <w:p>
      <w:pPr>
        <w:spacing w:line="560" w:lineRule="exact"/>
        <w:rPr>
          <w:rFonts w:hint="eastAsia" w:ascii="仿宋" w:hAnsi="仿宋" w:eastAsia="仿宋" w:cs="仿宋"/>
          <w:highlight w:val="none"/>
          <w:lang w:eastAsia="zh-CN"/>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此页无正文</w:t>
      </w:r>
      <w:r>
        <w:rPr>
          <w:rFonts w:hint="eastAsia" w:ascii="仿宋" w:hAnsi="仿宋" w:eastAsia="仿宋" w:cs="仿宋"/>
          <w:highlight w:val="none"/>
          <w:lang w:eastAsia="zh-CN"/>
        </w:rPr>
        <w:t>）</w:t>
      </w:r>
    </w:p>
    <w:p>
      <w:pPr>
        <w:spacing w:line="560" w:lineRule="exact"/>
        <w:rPr>
          <w:rFonts w:hint="eastAsia" w:ascii="仿宋" w:hAnsi="仿宋" w:eastAsia="仿宋" w:cs="仿宋"/>
          <w:highlight w:val="none"/>
        </w:rPr>
      </w:pPr>
      <w:r>
        <w:rPr>
          <w:rFonts w:hint="eastAsia" w:ascii="仿宋" w:hAnsi="仿宋" w:eastAsia="仿宋" w:cs="仿宋"/>
          <w:highlight w:val="none"/>
        </w:rPr>
        <w:t xml:space="preserve">上会会计师事务所（特殊普通合伙）    </w:t>
      </w:r>
    </w:p>
    <w:p>
      <w:pPr>
        <w:spacing w:line="560" w:lineRule="exact"/>
        <w:ind w:firstLine="1600" w:firstLineChars="500"/>
        <w:rPr>
          <w:rFonts w:hint="eastAsia" w:ascii="仿宋" w:hAnsi="仿宋" w:eastAsia="仿宋" w:cs="仿宋"/>
          <w:highlight w:val="none"/>
        </w:rPr>
      </w:pPr>
      <w:r>
        <w:rPr>
          <w:rFonts w:hint="eastAsia" w:ascii="仿宋" w:hAnsi="仿宋" w:eastAsia="仿宋" w:cs="仿宋"/>
          <w:highlight w:val="none"/>
        </w:rPr>
        <w:t>湖北分所</w:t>
      </w:r>
    </w:p>
    <w:p>
      <w:pPr>
        <w:spacing w:line="560" w:lineRule="exact"/>
        <w:rPr>
          <w:rFonts w:hint="eastAsia" w:ascii="仿宋_GB2312" w:hAnsi="仿宋_GB2312" w:eastAsia="仿宋_GB2312" w:cs="仿宋_GB2312"/>
        </w:rPr>
      </w:pPr>
      <w:r>
        <w:rPr>
          <w:rFonts w:hint="eastAsia" w:ascii="仿宋_GB2312" w:hAnsi="仿宋_GB2312" w:eastAsia="仿宋_GB2312" w:cs="仿宋_GB2312"/>
        </w:rPr>
        <w:t>                                                                           </w:t>
      </w:r>
    </w:p>
    <w:p>
      <w:pPr>
        <w:spacing w:line="560" w:lineRule="exact"/>
        <w:ind w:firstLine="1600" w:firstLineChars="500"/>
        <w:rPr>
          <w:rFonts w:hint="eastAsia" w:ascii="仿宋_GB2312" w:hAnsi="仿宋_GB2312" w:eastAsia="仿宋_GB2312" w:cs="仿宋_GB2312"/>
          <w:sz w:val="32"/>
          <w:szCs w:val="32"/>
          <w:lang w:val="en-US" w:eastAsia="zh-CN"/>
        </w:rPr>
      </w:pPr>
      <w:r>
        <w:rPr>
          <w:rFonts w:hint="eastAsia" w:ascii="仿宋" w:hAnsi="仿宋" w:eastAsia="仿宋" w:cs="仿宋"/>
        </w:rPr>
        <w:t>中国</w:t>
      </w:r>
      <w:r>
        <w:rPr>
          <w:rFonts w:hint="eastAsia" w:ascii="仿宋" w:hAnsi="仿宋" w:eastAsia="仿宋" w:cs="仿宋"/>
          <w:lang w:val="en-US" w:eastAsia="zh-CN"/>
        </w:rPr>
        <w:t xml:space="preserve">  </w:t>
      </w:r>
      <w:r>
        <w:rPr>
          <w:rFonts w:hint="eastAsia" w:ascii="仿宋" w:hAnsi="仿宋" w:eastAsia="仿宋" w:cs="仿宋"/>
        </w:rPr>
        <w:t>湖北</w:t>
      </w:r>
      <w:r>
        <w:rPr>
          <w:rFonts w:hint="eastAsia" w:ascii="仿宋_GB2312" w:hAnsi="仿宋_GB2312" w:eastAsia="仿宋_GB2312" w:cs="仿宋_GB2312"/>
        </w:rPr>
        <w:t xml:space="preserve">        </w:t>
      </w:r>
      <w:r>
        <w:rPr>
          <w:rFonts w:hint="eastAsia" w:ascii="仿宋_GB2312" w:hAnsi="仿宋_GB2312" w:eastAsia="仿宋_GB2312" w:cs="仿宋_GB2312"/>
          <w:highlight w:val="none"/>
        </w:rPr>
        <w:t xml:space="preserve">   </w:t>
      </w:r>
      <w:r>
        <w:rPr>
          <w:rFonts w:hint="eastAsia" w:ascii="仿宋" w:hAnsi="仿宋" w:eastAsia="仿宋" w:cs="仿宋"/>
          <w:highlight w:val="none"/>
        </w:rPr>
        <w:t>二〇二</w:t>
      </w:r>
      <w:r>
        <w:rPr>
          <w:rFonts w:hint="eastAsia" w:ascii="仿宋" w:hAnsi="仿宋" w:eastAsia="仿宋" w:cs="仿宋"/>
          <w:highlight w:val="none"/>
          <w:lang w:val="en-US" w:eastAsia="zh-CN"/>
        </w:rPr>
        <w:t>三</w:t>
      </w:r>
      <w:r>
        <w:rPr>
          <w:rFonts w:hint="eastAsia" w:ascii="仿宋" w:hAnsi="仿宋" w:eastAsia="仿宋" w:cs="仿宋"/>
          <w:highlight w:val="none"/>
        </w:rPr>
        <w:t>年</w:t>
      </w:r>
      <w:r>
        <w:rPr>
          <w:rFonts w:hint="eastAsia" w:ascii="仿宋" w:hAnsi="仿宋" w:eastAsia="仿宋" w:cs="仿宋"/>
          <w:highlight w:val="none"/>
          <w:lang w:val="en-US" w:eastAsia="zh-CN"/>
        </w:rPr>
        <w:t>九</w:t>
      </w:r>
      <w:r>
        <w:rPr>
          <w:rFonts w:hint="eastAsia" w:ascii="仿宋" w:hAnsi="仿宋" w:eastAsia="仿宋" w:cs="仿宋"/>
          <w:highlight w:val="none"/>
        </w:rPr>
        <w:t>月</w:t>
      </w:r>
      <w:r>
        <w:rPr>
          <w:rFonts w:hint="eastAsia" w:ascii="仿宋" w:hAnsi="仿宋" w:eastAsia="仿宋" w:cs="仿宋"/>
          <w:highlight w:val="none"/>
          <w:lang w:val="en-US" w:eastAsia="zh-CN"/>
        </w:rPr>
        <w:t>二十八</w:t>
      </w:r>
      <w:r>
        <w:rPr>
          <w:rFonts w:hint="eastAsia" w:ascii="仿宋" w:hAnsi="仿宋" w:eastAsia="仿宋" w:cs="仿宋"/>
          <w:highlight w:val="none"/>
        </w:rPr>
        <w:t>日</w:t>
      </w:r>
    </w:p>
    <w:sectPr>
      <w:headerReference r:id="rId3" w:type="default"/>
      <w:footerReference r:id="rId4" w:type="default"/>
      <w:pgSz w:w="11906" w:h="16838"/>
      <w:pgMar w:top="2098" w:right="1474" w:bottom="1984" w:left="1587" w:header="851" w:footer="992" w:gutter="0"/>
      <w:pgNumType w:fmt="decimal" w:start="1"/>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D2D94763-4558-467F-A590-EC44D3AB00E2}"/>
  </w:font>
  <w:font w:name="楷体">
    <w:panose1 w:val="02010609060101010101"/>
    <w:charset w:val="86"/>
    <w:family w:val="modern"/>
    <w:pitch w:val="default"/>
    <w:sig w:usb0="800002BF" w:usb1="38CF7CFA" w:usb2="00000016" w:usb3="00000000" w:csb0="00040001" w:csb1="00000000"/>
    <w:embedRegular r:id="rId2" w:fontKey="{834816EE-5637-4B7F-B280-97A527CE6E86}"/>
  </w:font>
  <w:font w:name="仿宋">
    <w:panose1 w:val="02010609060101010101"/>
    <w:charset w:val="86"/>
    <w:family w:val="modern"/>
    <w:pitch w:val="default"/>
    <w:sig w:usb0="800002BF" w:usb1="38CF7CFA" w:usb2="00000016" w:usb3="00000000" w:csb0="00040001" w:csb1="00000000"/>
    <w:embedRegular r:id="rId3" w:fontKey="{D84A65D1-D8AF-413A-B793-2199AA380F27}"/>
  </w:font>
  <w:font w:name="方正小标宋_GBK">
    <w:panose1 w:val="02000000000000000000"/>
    <w:charset w:val="86"/>
    <w:family w:val="auto"/>
    <w:pitch w:val="default"/>
    <w:sig w:usb0="00000001" w:usb1="080E0000" w:usb2="00000000" w:usb3="00000000" w:csb0="00040000" w:csb1="00000000"/>
    <w:embedRegular r:id="rId4" w:fontKey="{A0612B53-333C-4D52-9E16-E2B42EBD7F1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- 4 -</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- 4 -</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rFonts w:hint="eastAsia"/>
      </w:rPr>
      <w:drawing>
        <wp:anchor distT="0" distB="0" distL="114300" distR="114300" simplePos="0" relativeHeight="251660288" behindDoc="0" locked="0" layoutInCell="1" allowOverlap="1">
          <wp:simplePos x="0" y="0"/>
          <wp:positionH relativeFrom="column">
            <wp:posOffset>-391160</wp:posOffset>
          </wp:positionH>
          <wp:positionV relativeFrom="paragraph">
            <wp:posOffset>-156845</wp:posOffset>
          </wp:positionV>
          <wp:extent cx="5734685" cy="936625"/>
          <wp:effectExtent l="0" t="0" r="5715" b="3175"/>
          <wp:wrapNone/>
          <wp:docPr id="6" name="图片 3"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图片1"/>
                  <pic:cNvPicPr>
                    <a:picLocks noChangeAspect="1"/>
                  </pic:cNvPicPr>
                </pic:nvPicPr>
                <pic:blipFill>
                  <a:blip r:embed="rId1"/>
                  <a:stretch>
                    <a:fillRect/>
                  </a:stretch>
                </pic:blipFill>
                <pic:spPr>
                  <a:xfrm>
                    <a:off x="0" y="0"/>
                    <a:ext cx="5734685" cy="93662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220"/>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wOWE5NDYwNDlhNTk4MWU0ZmQzZjllOWMyZjUwOWMifQ=="/>
  </w:docVars>
  <w:rsids>
    <w:rsidRoot w:val="7F173BFB"/>
    <w:rsid w:val="0018099E"/>
    <w:rsid w:val="003357D8"/>
    <w:rsid w:val="018D0F17"/>
    <w:rsid w:val="024912E2"/>
    <w:rsid w:val="02497534"/>
    <w:rsid w:val="05FB42B1"/>
    <w:rsid w:val="0B156206"/>
    <w:rsid w:val="0C727688"/>
    <w:rsid w:val="0CF60376"/>
    <w:rsid w:val="0DE46363"/>
    <w:rsid w:val="0FD372BA"/>
    <w:rsid w:val="11651569"/>
    <w:rsid w:val="11660672"/>
    <w:rsid w:val="160457F4"/>
    <w:rsid w:val="18BD1C8B"/>
    <w:rsid w:val="1A756F52"/>
    <w:rsid w:val="1B7C407F"/>
    <w:rsid w:val="1DC53ABB"/>
    <w:rsid w:val="1E663172"/>
    <w:rsid w:val="1E9108AA"/>
    <w:rsid w:val="21336F8E"/>
    <w:rsid w:val="22916662"/>
    <w:rsid w:val="22B3482A"/>
    <w:rsid w:val="23E97DD8"/>
    <w:rsid w:val="2705317A"/>
    <w:rsid w:val="27E8598C"/>
    <w:rsid w:val="28304227"/>
    <w:rsid w:val="29A06C1C"/>
    <w:rsid w:val="2AD87D31"/>
    <w:rsid w:val="2B326508"/>
    <w:rsid w:val="2B45623B"/>
    <w:rsid w:val="2B8940E5"/>
    <w:rsid w:val="2C3342E6"/>
    <w:rsid w:val="2C491D5B"/>
    <w:rsid w:val="2D4F33A1"/>
    <w:rsid w:val="2DCD42C6"/>
    <w:rsid w:val="30705B08"/>
    <w:rsid w:val="31C82370"/>
    <w:rsid w:val="325A2674"/>
    <w:rsid w:val="340E50F6"/>
    <w:rsid w:val="344828F8"/>
    <w:rsid w:val="34627E5E"/>
    <w:rsid w:val="34C53F49"/>
    <w:rsid w:val="34D21838"/>
    <w:rsid w:val="35680A25"/>
    <w:rsid w:val="366A4591"/>
    <w:rsid w:val="36820344"/>
    <w:rsid w:val="368D0EC4"/>
    <w:rsid w:val="36E92171"/>
    <w:rsid w:val="392E04D8"/>
    <w:rsid w:val="39C06CA3"/>
    <w:rsid w:val="3C1E0B0E"/>
    <w:rsid w:val="3C943502"/>
    <w:rsid w:val="3DA9265A"/>
    <w:rsid w:val="3F964E60"/>
    <w:rsid w:val="4050500F"/>
    <w:rsid w:val="41AF4FE0"/>
    <w:rsid w:val="42750D5C"/>
    <w:rsid w:val="42756FAE"/>
    <w:rsid w:val="446C618F"/>
    <w:rsid w:val="456A4DC4"/>
    <w:rsid w:val="456F5F37"/>
    <w:rsid w:val="476E0D9F"/>
    <w:rsid w:val="47AD011C"/>
    <w:rsid w:val="47FC782A"/>
    <w:rsid w:val="48795512"/>
    <w:rsid w:val="494616A5"/>
    <w:rsid w:val="4B8169C4"/>
    <w:rsid w:val="4D811942"/>
    <w:rsid w:val="4E17716C"/>
    <w:rsid w:val="50D94BAC"/>
    <w:rsid w:val="53083527"/>
    <w:rsid w:val="537A46AB"/>
    <w:rsid w:val="53A8110D"/>
    <w:rsid w:val="543A32C1"/>
    <w:rsid w:val="54972DB4"/>
    <w:rsid w:val="551C150B"/>
    <w:rsid w:val="57C00874"/>
    <w:rsid w:val="57C54DFF"/>
    <w:rsid w:val="57F30C49"/>
    <w:rsid w:val="5915699E"/>
    <w:rsid w:val="5B4F4286"/>
    <w:rsid w:val="5D176358"/>
    <w:rsid w:val="5F555D46"/>
    <w:rsid w:val="623A1223"/>
    <w:rsid w:val="648502B4"/>
    <w:rsid w:val="64992B79"/>
    <w:rsid w:val="64F81356"/>
    <w:rsid w:val="66664CDC"/>
    <w:rsid w:val="66A15F51"/>
    <w:rsid w:val="67737EE0"/>
    <w:rsid w:val="683B5167"/>
    <w:rsid w:val="6872770C"/>
    <w:rsid w:val="6C4C227F"/>
    <w:rsid w:val="6CE1330F"/>
    <w:rsid w:val="6D98755A"/>
    <w:rsid w:val="6DB225B5"/>
    <w:rsid w:val="6E2B394C"/>
    <w:rsid w:val="6F2A4AF9"/>
    <w:rsid w:val="710F044A"/>
    <w:rsid w:val="71BE6D71"/>
    <w:rsid w:val="73AB1F81"/>
    <w:rsid w:val="74804814"/>
    <w:rsid w:val="755268B0"/>
    <w:rsid w:val="76897925"/>
    <w:rsid w:val="77FE2FC7"/>
    <w:rsid w:val="78B473B0"/>
    <w:rsid w:val="7AEA338E"/>
    <w:rsid w:val="7B6D1D92"/>
    <w:rsid w:val="7C9A0DE4"/>
    <w:rsid w:val="7D494CE4"/>
    <w:rsid w:val="7DE71D15"/>
    <w:rsid w:val="7F173B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2"/>
      <w:lang w:val="en-US" w:eastAsia="zh-CN" w:bidi="ar-SA"/>
    </w:rPr>
  </w:style>
  <w:style w:type="paragraph" w:styleId="3">
    <w:name w:val="heading 1"/>
    <w:basedOn w:val="1"/>
    <w:next w:val="1"/>
    <w:qFormat/>
    <w:uiPriority w:val="9"/>
    <w:pPr>
      <w:keepNext/>
      <w:keepLines/>
      <w:spacing w:line="560" w:lineRule="exact"/>
      <w:ind w:firstLine="872" w:firstLineChars="200"/>
      <w:outlineLvl w:val="0"/>
    </w:pPr>
    <w:rPr>
      <w:rFonts w:ascii="黑体" w:hAnsi="黑体" w:eastAsia="黑体"/>
      <w:b/>
      <w:bCs/>
      <w:kern w:val="44"/>
      <w:szCs w:val="44"/>
    </w:rPr>
  </w:style>
  <w:style w:type="paragraph" w:styleId="4">
    <w:name w:val="heading 2"/>
    <w:basedOn w:val="1"/>
    <w:next w:val="1"/>
    <w:qFormat/>
    <w:uiPriority w:val="9"/>
    <w:pPr>
      <w:keepNext/>
      <w:keepLines/>
      <w:spacing w:line="560" w:lineRule="exact"/>
      <w:ind w:firstLine="200" w:firstLineChars="200"/>
      <w:jc w:val="left"/>
      <w:outlineLvl w:val="1"/>
    </w:pPr>
    <w:rPr>
      <w:rFonts w:ascii="楷体" w:hAnsi="楷体" w:eastAsia="楷体"/>
      <w:b/>
      <w:bCs/>
      <w:kern w:val="0"/>
      <w:szCs w:val="32"/>
    </w:rPr>
  </w:style>
  <w:style w:type="paragraph" w:styleId="5">
    <w:name w:val="heading 3"/>
    <w:basedOn w:val="1"/>
    <w:next w:val="1"/>
    <w:qFormat/>
    <w:uiPriority w:val="9"/>
    <w:pPr>
      <w:keepNext/>
      <w:keepLines/>
      <w:spacing w:line="560" w:lineRule="exact"/>
      <w:ind w:firstLine="200" w:firstLineChars="200"/>
      <w:jc w:val="left"/>
      <w:outlineLvl w:val="2"/>
    </w:pPr>
    <w:rPr>
      <w:rFonts w:ascii="楷体" w:hAnsi="楷体" w:eastAsia="楷体"/>
      <w:b/>
      <w:bCs/>
      <w:kern w:val="0"/>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Default"/>
    <w:unhideWhenUsed/>
    <w:qFormat/>
    <w:uiPriority w:val="0"/>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styleId="6">
    <w:name w:val="Normal Indent"/>
    <w:basedOn w:val="1"/>
    <w:next w:val="1"/>
    <w:qFormat/>
    <w:uiPriority w:val="0"/>
    <w:pPr>
      <w:spacing w:before="200" w:after="200"/>
    </w:pPr>
    <w:rPr>
      <w:rFonts w:ascii="Times New Roman" w:hAnsi="Times New Roman" w:eastAsia="仿宋_GB2312"/>
      <w:color w:val="000000"/>
      <w:kern w:val="0"/>
      <w:sz w:val="28"/>
      <w:szCs w:val="32"/>
      <w:lang w:bidi="en-US"/>
    </w:rPr>
  </w:style>
  <w:style w:type="paragraph" w:styleId="7">
    <w:name w:val="annotation text"/>
    <w:basedOn w:val="1"/>
    <w:qFormat/>
    <w:uiPriority w:val="0"/>
    <w:pPr>
      <w:jc w:val="left"/>
    </w:pPr>
  </w:style>
  <w:style w:type="paragraph" w:styleId="8">
    <w:name w:val="Body Text"/>
    <w:basedOn w:val="1"/>
    <w:qFormat/>
    <w:uiPriority w:val="0"/>
    <w:pPr>
      <w:spacing w:after="120"/>
    </w:pPr>
    <w:rPr>
      <w:rFonts w:ascii="Times New Roman"/>
    </w:rPr>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 w:type="character" w:customStyle="1" w:styleId="18">
    <w:name w:val="font11"/>
    <w:basedOn w:val="15"/>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6162</Words>
  <Characters>7154</Characters>
  <Lines>0</Lines>
  <Paragraphs>0</Paragraphs>
  <TotalTime>0</TotalTime>
  <ScaleCrop>false</ScaleCrop>
  <LinksUpToDate>false</LinksUpToDate>
  <CharactersWithSpaces>7625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2023-08-14T02:08:00Z</dcterms:created>
  <dc:creator>微笑</dc:creator>
  <cp:lastModifiedBy>梅竹</cp:lastModifiedBy>
  <dcterms:modified xsi:type="dcterms:W3CDTF">2023-09-28T06:28:57Z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F0E2CCB5898543608AAAF37E08F2F404_13</vt:lpwstr>
  </property>
</Properties>
</file>