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楷体" w:hAnsi="楷体" w:eastAsia="楷体"/>
          <w:bCs/>
          <w:sz w:val="36"/>
          <w:szCs w:val="36"/>
        </w:rPr>
      </w:pPr>
      <w:r>
        <w:rPr>
          <w:rFonts w:hint="eastAsia" w:ascii="楷体" w:hAnsi="楷体" w:eastAsia="楷体"/>
          <w:bCs/>
          <w:sz w:val="36"/>
          <w:szCs w:val="36"/>
        </w:rPr>
        <w:t>报告编码：</w:t>
      </w:r>
      <w:r>
        <w:rPr>
          <w:rFonts w:hint="eastAsia" w:ascii="楷体" w:hAnsi="楷体" w:eastAsia="楷体" w:cs="楷体"/>
          <w:bCs/>
          <w:sz w:val="36"/>
          <w:szCs w:val="36"/>
        </w:rPr>
        <w:t>鄂恒会咨字﹝</w:t>
      </w:r>
      <w:r>
        <w:rPr>
          <w:rFonts w:ascii="楷体" w:hAnsi="楷体" w:eastAsia="楷体" w:cs="楷体"/>
          <w:bCs/>
          <w:sz w:val="36"/>
          <w:szCs w:val="36"/>
        </w:rPr>
        <w:t>20</w:t>
      </w:r>
      <w:r>
        <w:rPr>
          <w:rFonts w:hint="eastAsia" w:ascii="楷体" w:hAnsi="楷体" w:eastAsia="楷体" w:cs="楷体"/>
          <w:bCs/>
          <w:sz w:val="36"/>
          <w:szCs w:val="36"/>
        </w:rPr>
        <w:t>23﹞021号</w:t>
      </w:r>
    </w:p>
    <w:p>
      <w:pPr>
        <w:rPr>
          <w:rFonts w:ascii="华文中宋" w:hAnsi="华文中宋" w:eastAsia="华文中宋"/>
          <w:b/>
          <w:sz w:val="10"/>
          <w:szCs w:val="10"/>
        </w:rPr>
      </w:pPr>
    </w:p>
    <w:p>
      <w:pPr>
        <w:jc w:val="center"/>
        <w:rPr>
          <w:rFonts w:ascii="华文中宋" w:hAnsi="华文中宋" w:eastAsia="华文中宋"/>
          <w:b/>
          <w:sz w:val="10"/>
          <w:szCs w:val="10"/>
        </w:rPr>
      </w:pPr>
    </w:p>
    <w:p>
      <w:pPr>
        <w:jc w:val="center"/>
        <w:rPr>
          <w:rFonts w:ascii="华文中宋" w:hAnsi="华文中宋" w:eastAsia="华文中宋"/>
          <w:b/>
          <w:sz w:val="48"/>
          <w:szCs w:val="48"/>
        </w:rPr>
      </w:pPr>
      <w:r>
        <w:rPr>
          <w:rFonts w:hint="eastAsia" w:ascii="华文中宋" w:hAnsi="华文中宋" w:eastAsia="华文中宋"/>
          <w:b/>
          <w:sz w:val="48"/>
          <w:szCs w:val="48"/>
        </w:rPr>
        <w:t>通城县预算绩效评价报告</w:t>
      </w:r>
    </w:p>
    <w:p>
      <w:pPr>
        <w:jc w:val="center"/>
        <w:rPr>
          <w:rFonts w:ascii="楷体_GB2312" w:hAnsi="楷体" w:eastAsia="楷体_GB2312"/>
          <w:sz w:val="36"/>
          <w:szCs w:val="36"/>
        </w:rPr>
      </w:pPr>
      <w:r>
        <w:rPr>
          <w:rFonts w:hint="eastAsia" w:ascii="楷体_GB2312" w:hAnsi="楷体" w:eastAsia="楷体_GB2312"/>
          <w:sz w:val="36"/>
          <w:szCs w:val="36"/>
        </w:rPr>
        <w:t>（缩略版）</w:t>
      </w: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华文中宋" w:hAnsi="华文中宋" w:eastAsia="华文中宋" w:cs="楷体"/>
          <w:sz w:val="36"/>
          <w:szCs w:val="36"/>
        </w:rPr>
      </w:pPr>
    </w:p>
    <w:p>
      <w:pPr>
        <w:ind w:left="1800" w:hanging="1800" w:hangingChars="500"/>
        <w:rPr>
          <w:rFonts w:ascii="华文中宋" w:hAnsi="华文中宋" w:eastAsia="华文中宋" w:cs="楷体"/>
          <w:sz w:val="36"/>
          <w:szCs w:val="36"/>
        </w:rPr>
      </w:pPr>
      <w:r>
        <w:rPr>
          <w:rFonts w:hint="eastAsia" w:ascii="华文中宋" w:hAnsi="华文中宋" w:eastAsia="华文中宋" w:cs="楷体"/>
          <w:sz w:val="36"/>
          <w:szCs w:val="36"/>
        </w:rPr>
        <w:t>报告名称：2022年中央财政城镇保障性工程补助资金（央、省专项）项目绩效评价报告</w:t>
      </w:r>
    </w:p>
    <w:p>
      <w:pPr>
        <w:rPr>
          <w:rFonts w:ascii="华文中宋" w:hAnsi="华文中宋" w:eastAsia="华文中宋" w:cs="楷体"/>
          <w:sz w:val="36"/>
          <w:szCs w:val="36"/>
        </w:rPr>
      </w:pPr>
      <w:r>
        <w:rPr>
          <w:rFonts w:hint="eastAsia" w:ascii="华文中宋" w:hAnsi="华文中宋" w:eastAsia="华文中宋" w:cs="楷体"/>
          <w:sz w:val="36"/>
          <w:szCs w:val="36"/>
        </w:rPr>
        <w:t>预算部门：通城县住房和城乡建设局</w:t>
      </w:r>
    </w:p>
    <w:p>
      <w:pPr>
        <w:rPr>
          <w:rFonts w:ascii="华文中宋" w:hAnsi="华文中宋" w:eastAsia="华文中宋" w:cs="楷体"/>
          <w:sz w:val="36"/>
          <w:szCs w:val="36"/>
        </w:rPr>
      </w:pPr>
      <w:r>
        <w:rPr>
          <w:rFonts w:hint="eastAsia" w:ascii="华文中宋" w:hAnsi="华文中宋" w:eastAsia="华文中宋" w:cs="楷体"/>
          <w:sz w:val="36"/>
          <w:szCs w:val="36"/>
        </w:rPr>
        <w:t>预算年度：20</w:t>
      </w:r>
      <w:r>
        <w:rPr>
          <w:rFonts w:ascii="华文中宋" w:hAnsi="华文中宋" w:eastAsia="华文中宋" w:cs="楷体"/>
          <w:sz w:val="36"/>
          <w:szCs w:val="36"/>
        </w:rPr>
        <w:t>2</w:t>
      </w:r>
      <w:r>
        <w:rPr>
          <w:rFonts w:hint="eastAsia" w:ascii="华文中宋" w:hAnsi="华文中宋" w:eastAsia="华文中宋" w:cs="楷体"/>
          <w:sz w:val="36"/>
          <w:szCs w:val="36"/>
        </w:rPr>
        <w:t>2年度</w:t>
      </w:r>
    </w:p>
    <w:p>
      <w:pPr>
        <w:rPr>
          <w:rFonts w:ascii="华文中宋" w:hAnsi="华文中宋" w:eastAsia="华文中宋" w:cs="楷体"/>
          <w:sz w:val="36"/>
          <w:szCs w:val="36"/>
        </w:rPr>
      </w:pPr>
      <w:r>
        <w:rPr>
          <w:rFonts w:hint="eastAsia" w:ascii="华文中宋" w:hAnsi="华文中宋" w:eastAsia="华文中宋" w:cs="楷体"/>
          <w:sz w:val="36"/>
          <w:szCs w:val="36"/>
        </w:rPr>
        <w:t>评价类型：项目</w:t>
      </w:r>
      <w:r>
        <w:rPr>
          <w:rFonts w:hint="eastAsia" w:ascii="华文中宋" w:hAnsi="华文中宋" w:eastAsia="华文中宋"/>
          <w:sz w:val="36"/>
          <w:szCs w:val="36"/>
        </w:rPr>
        <w:sym w:font="Wingdings" w:char="F0FE"/>
      </w:r>
      <w:r>
        <w:rPr>
          <w:rFonts w:hint="eastAsia" w:ascii="华文中宋" w:hAnsi="华文中宋" w:eastAsia="华文中宋" w:cs="楷体"/>
          <w:sz w:val="36"/>
          <w:szCs w:val="36"/>
        </w:rPr>
        <w:t xml:space="preserve">  政策□   部门整体□</w:t>
      </w:r>
    </w:p>
    <w:p>
      <w:pPr>
        <w:rPr>
          <w:rFonts w:ascii="华文中宋" w:hAnsi="华文中宋" w:eastAsia="华文中宋" w:cs="楷体"/>
          <w:sz w:val="36"/>
          <w:szCs w:val="36"/>
        </w:rPr>
      </w:pPr>
    </w:p>
    <w:p>
      <w:pPr>
        <w:rPr>
          <w:rFonts w:ascii="华文中宋" w:hAnsi="华文中宋" w:eastAsia="华文中宋" w:cs="楷体"/>
          <w:sz w:val="36"/>
          <w:szCs w:val="36"/>
        </w:rPr>
      </w:pPr>
      <w:r>
        <w:rPr>
          <w:rFonts w:hint="eastAsia" w:ascii="华文中宋" w:hAnsi="华文中宋" w:eastAsia="华文中宋" w:cs="楷体"/>
          <w:sz w:val="36"/>
          <w:szCs w:val="36"/>
        </w:rPr>
        <w:t>评价单位：湖北恒信会计师事务有限公司</w:t>
      </w:r>
    </w:p>
    <w:p>
      <w:pPr>
        <w:rPr>
          <w:rFonts w:ascii="华文中宋" w:hAnsi="华文中宋" w:eastAsia="华文中宋" w:cs="楷体"/>
          <w:sz w:val="36"/>
          <w:szCs w:val="36"/>
        </w:rPr>
      </w:pPr>
      <w:r>
        <w:rPr>
          <w:rFonts w:hint="eastAsia" w:ascii="华文中宋" w:hAnsi="华文中宋" w:eastAsia="华文中宋" w:cs="楷体"/>
          <w:sz w:val="36"/>
          <w:szCs w:val="36"/>
        </w:rPr>
        <w:t>主评人1：丁永宏</w:t>
      </w:r>
    </w:p>
    <w:p>
      <w:pPr>
        <w:rPr>
          <w:rFonts w:ascii="华文中宋" w:hAnsi="华文中宋" w:eastAsia="华文中宋" w:cs="楷体"/>
          <w:sz w:val="36"/>
          <w:szCs w:val="36"/>
        </w:rPr>
      </w:pPr>
      <w:r>
        <w:rPr>
          <w:rFonts w:hint="eastAsia" w:ascii="华文中宋" w:hAnsi="华文中宋" w:eastAsia="华文中宋" w:cs="楷体"/>
          <w:sz w:val="36"/>
          <w:szCs w:val="36"/>
        </w:rPr>
        <w:t>主评人2：蔡秋霞</w:t>
      </w:r>
    </w:p>
    <w:p>
      <w:pPr>
        <w:rPr>
          <w:rFonts w:ascii="华文中宋" w:hAnsi="华文中宋" w:eastAsia="华文中宋" w:cs="楷体"/>
          <w:sz w:val="36"/>
          <w:szCs w:val="36"/>
        </w:rPr>
      </w:pPr>
      <w:r>
        <w:rPr>
          <w:rFonts w:hint="eastAsia" w:ascii="华文中宋" w:hAnsi="华文中宋" w:eastAsia="华文中宋" w:cs="楷体"/>
          <w:sz w:val="36"/>
          <w:szCs w:val="36"/>
        </w:rPr>
        <w:t>正式提交日期：2023年9月2</w:t>
      </w:r>
      <w:r>
        <w:rPr>
          <w:rFonts w:ascii="华文中宋" w:hAnsi="华文中宋" w:eastAsia="华文中宋" w:cs="楷体"/>
          <w:sz w:val="36"/>
          <w:szCs w:val="36"/>
        </w:rPr>
        <w:t>8</w:t>
      </w:r>
      <w:r>
        <w:rPr>
          <w:rFonts w:hint="eastAsia" w:ascii="华文中宋" w:hAnsi="华文中宋" w:eastAsia="华文中宋" w:cs="楷体"/>
          <w:sz w:val="36"/>
          <w:szCs w:val="36"/>
        </w:rPr>
        <w:t>日</w:t>
      </w:r>
    </w:p>
    <w:p>
      <w:pPr>
        <w:pStyle w:val="7"/>
        <w:rPr>
          <w:rFonts w:ascii="华文中宋" w:hAnsi="华文中宋" w:eastAsia="华文中宋" w:cs="楷体"/>
          <w:sz w:val="36"/>
          <w:szCs w:val="36"/>
        </w:rPr>
      </w:pPr>
    </w:p>
    <w:p/>
    <w:p>
      <w:pPr>
        <w:spacing w:line="560" w:lineRule="exact"/>
        <w:jc w:val="center"/>
        <w:rPr>
          <w:rFonts w:ascii="仿宋_GB2312" w:hAnsi="方正小标宋简体" w:eastAsia="仿宋_GB2312" w:cs="方正小标宋简体"/>
          <w:sz w:val="36"/>
          <w:szCs w:val="36"/>
        </w:rPr>
      </w:pPr>
      <w:r>
        <w:rPr>
          <w:rFonts w:hint="eastAsia" w:ascii="仿宋_GB2312" w:hAnsi="方正小标宋简体" w:eastAsia="仿宋_GB2312" w:cs="方正小标宋简体"/>
          <w:sz w:val="36"/>
          <w:szCs w:val="36"/>
        </w:rPr>
        <w:t>目  录</w:t>
      </w:r>
    </w:p>
    <w:p>
      <w:pPr>
        <w:pStyle w:val="7"/>
        <w:spacing w:line="560" w:lineRule="exact"/>
        <w:rPr>
          <w:rFonts w:ascii="仿宋_GB2312" w:eastAsia="仿宋_GB2312"/>
        </w:rPr>
      </w:pPr>
    </w:p>
    <w:p>
      <w:pPr>
        <w:pStyle w:val="9"/>
        <w:tabs>
          <w:tab w:val="right" w:leader="dot" w:pos="8835"/>
        </w:tabs>
        <w:spacing w:line="560" w:lineRule="exact"/>
        <w:rPr>
          <w:rFonts w:ascii="仿宋_GB2312" w:hAnsi="宋体" w:eastAsia="仿宋_GB2312" w:cstheme="minorBidi"/>
          <w:sz w:val="28"/>
          <w:szCs w:val="32"/>
          <w14:ligatures w14:val="standardContextual"/>
        </w:rPr>
      </w:pPr>
      <w:r>
        <w:rPr>
          <w:rFonts w:hint="eastAsia" w:ascii="仿宋_GB2312" w:hAnsi="宋体" w:eastAsia="仿宋_GB2312"/>
          <w:sz w:val="24"/>
          <w:szCs w:val="32"/>
        </w:rPr>
        <w:fldChar w:fldCharType="begin"/>
      </w:r>
      <w:r>
        <w:rPr>
          <w:rFonts w:hint="eastAsia" w:ascii="仿宋_GB2312" w:hAnsi="宋体" w:eastAsia="仿宋_GB2312"/>
          <w:sz w:val="24"/>
          <w:szCs w:val="32"/>
        </w:rPr>
        <w:instrText xml:space="preserve">TOC \o "1-3" \h \u </w:instrText>
      </w:r>
      <w:r>
        <w:rPr>
          <w:rFonts w:hint="eastAsia" w:ascii="仿宋_GB2312" w:hAnsi="宋体" w:eastAsia="仿宋_GB2312"/>
          <w:sz w:val="24"/>
          <w:szCs w:val="32"/>
        </w:rPr>
        <w:fldChar w:fldCharType="separate"/>
      </w:r>
      <w:r>
        <w:fldChar w:fldCharType="begin"/>
      </w:r>
      <w:r>
        <w:instrText xml:space="preserve"> HYPERLINK \l "_Toc143010278" </w:instrText>
      </w:r>
      <w:r>
        <w:fldChar w:fldCharType="separate"/>
      </w:r>
      <w:r>
        <w:rPr>
          <w:rStyle w:val="13"/>
          <w:rFonts w:hint="eastAsia" w:ascii="仿宋_GB2312" w:hAnsi="宋体" w:eastAsia="仿宋_GB2312" w:cs="黑体"/>
          <w:sz w:val="28"/>
          <w:szCs w:val="36"/>
        </w:rPr>
        <w:t>一、评价结论</w:t>
      </w:r>
      <w:r>
        <w:rPr>
          <w:rFonts w:hint="eastAsia" w:ascii="仿宋_GB2312" w:hAnsi="宋体" w:eastAsia="仿宋_GB2312"/>
          <w:sz w:val="28"/>
          <w:szCs w:val="36"/>
        </w:rPr>
        <w:tab/>
      </w:r>
      <w:r>
        <w:rPr>
          <w:rFonts w:hint="eastAsia" w:ascii="仿宋_GB2312" w:hAnsi="宋体" w:eastAsia="仿宋_GB2312"/>
          <w:sz w:val="28"/>
          <w:szCs w:val="36"/>
        </w:rPr>
        <w:fldChar w:fldCharType="begin"/>
      </w:r>
      <w:r>
        <w:rPr>
          <w:rFonts w:hint="eastAsia" w:ascii="仿宋_GB2312" w:hAnsi="宋体" w:eastAsia="仿宋_GB2312"/>
          <w:sz w:val="28"/>
          <w:szCs w:val="36"/>
        </w:rPr>
        <w:instrText xml:space="preserve"> PAGEREF _Toc143010278 \h </w:instrText>
      </w:r>
      <w:r>
        <w:rPr>
          <w:rFonts w:hint="eastAsia" w:ascii="仿宋_GB2312" w:hAnsi="宋体" w:eastAsia="仿宋_GB2312"/>
          <w:sz w:val="28"/>
          <w:szCs w:val="36"/>
        </w:rPr>
        <w:fldChar w:fldCharType="separate"/>
      </w:r>
      <w:r>
        <w:rPr>
          <w:rFonts w:ascii="仿宋_GB2312" w:hAnsi="宋体" w:eastAsia="仿宋_GB2312"/>
          <w:sz w:val="28"/>
          <w:szCs w:val="36"/>
        </w:rPr>
        <w:t>1</w:t>
      </w:r>
      <w:r>
        <w:rPr>
          <w:rFonts w:hint="eastAsia" w:ascii="仿宋_GB2312" w:hAnsi="宋体" w:eastAsia="仿宋_GB2312"/>
          <w:sz w:val="28"/>
          <w:szCs w:val="36"/>
        </w:rPr>
        <w:fldChar w:fldCharType="end"/>
      </w:r>
      <w:r>
        <w:rPr>
          <w:rFonts w:hint="eastAsia" w:ascii="仿宋_GB2312" w:hAnsi="宋体" w:eastAsia="仿宋_GB2312"/>
          <w:sz w:val="28"/>
          <w:szCs w:val="36"/>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"_Toc143010279" </w:instrText>
      </w:r>
      <w:r>
        <w:fldChar w:fldCharType="separate"/>
      </w:r>
      <w:r>
        <w:rPr>
          <w:rStyle w:val="13"/>
          <w:rFonts w:hint="eastAsia" w:ascii="仿宋_GB2312" w:hAnsi="宋体" w:eastAsia="仿宋_GB2312" w:cs="楷体_GB2312"/>
          <w:sz w:val="28"/>
          <w:szCs w:val="28"/>
        </w:rPr>
        <w:t>（一）绩效评价分数和等级</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_Toc143010279 \h </w:instrText>
      </w:r>
      <w:r>
        <w:rPr>
          <w:rFonts w:hint="eastAsia" w:ascii="仿宋_GB2312" w:hAnsi="宋体" w:eastAsia="仿宋_GB2312"/>
          <w:sz w:val="28"/>
          <w:szCs w:val="28"/>
        </w:rPr>
        <w:fldChar w:fldCharType="separate"/>
      </w:r>
      <w:r>
        <w:rPr>
          <w:rFonts w:ascii="仿宋_GB2312" w:hAnsi="宋体" w:eastAsia="仿宋_GB2312"/>
          <w:sz w:val="28"/>
          <w:szCs w:val="28"/>
        </w:rPr>
        <w:t>1</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"_Toc143010280" </w:instrText>
      </w:r>
      <w:r>
        <w:fldChar w:fldCharType="separate"/>
      </w:r>
      <w:r>
        <w:rPr>
          <w:rStyle w:val="13"/>
          <w:rFonts w:hint="eastAsia" w:ascii="仿宋_GB2312" w:hAnsi="宋体" w:eastAsia="仿宋_GB2312" w:cs="楷体_GB2312"/>
          <w:sz w:val="28"/>
          <w:szCs w:val="28"/>
        </w:rPr>
        <w:t>（二）绩效评价指标情况</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_Toc143010280 \h </w:instrText>
      </w:r>
      <w:r>
        <w:rPr>
          <w:rFonts w:hint="eastAsia" w:ascii="仿宋_GB2312" w:hAnsi="宋体" w:eastAsia="仿宋_GB2312"/>
          <w:sz w:val="28"/>
          <w:szCs w:val="28"/>
        </w:rPr>
        <w:fldChar w:fldCharType="separate"/>
      </w:r>
      <w:r>
        <w:rPr>
          <w:rFonts w:ascii="仿宋_GB2312" w:hAnsi="宋体" w:eastAsia="仿宋_GB2312"/>
          <w:sz w:val="28"/>
          <w:szCs w:val="28"/>
        </w:rPr>
        <w:t>1</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"_Toc143010281" </w:instrText>
      </w:r>
      <w:r>
        <w:fldChar w:fldCharType="separate"/>
      </w:r>
      <w:r>
        <w:rPr>
          <w:rStyle w:val="13"/>
          <w:rFonts w:hint="eastAsia" w:ascii="仿宋_GB2312" w:hAnsi="宋体" w:eastAsia="仿宋_GB2312" w:cs="楷体_GB2312"/>
          <w:sz w:val="28"/>
          <w:szCs w:val="28"/>
        </w:rPr>
        <w:t>（三）以前年度结果应用情况</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_Toc143010281 \h </w:instrText>
      </w:r>
      <w:r>
        <w:rPr>
          <w:rFonts w:hint="eastAsia" w:ascii="仿宋_GB2312" w:hAnsi="宋体" w:eastAsia="仿宋_GB2312"/>
          <w:sz w:val="28"/>
          <w:szCs w:val="28"/>
        </w:rPr>
        <w:fldChar w:fldCharType="separate"/>
      </w:r>
      <w:r>
        <w:rPr>
          <w:rFonts w:ascii="仿宋_GB2312" w:hAnsi="宋体" w:eastAsia="仿宋_GB2312"/>
          <w:sz w:val="28"/>
          <w:szCs w:val="28"/>
        </w:rPr>
        <w:t>2</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"_Toc143010282" </w:instrText>
      </w:r>
      <w:r>
        <w:fldChar w:fldCharType="separate"/>
      </w:r>
      <w:r>
        <w:rPr>
          <w:rStyle w:val="13"/>
          <w:rFonts w:hint="eastAsia" w:ascii="仿宋_GB2312" w:hAnsi="宋体" w:eastAsia="仿宋_GB2312" w:cs="楷体_GB2312"/>
          <w:sz w:val="28"/>
          <w:szCs w:val="28"/>
        </w:rPr>
        <w:t>（四）存在的问题和原因</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_Toc143010282 \h </w:instrText>
      </w:r>
      <w:r>
        <w:rPr>
          <w:rFonts w:hint="eastAsia" w:ascii="仿宋_GB2312" w:hAnsi="宋体" w:eastAsia="仿宋_GB2312"/>
          <w:sz w:val="28"/>
          <w:szCs w:val="28"/>
        </w:rPr>
        <w:fldChar w:fldCharType="separate"/>
      </w:r>
      <w:r>
        <w:rPr>
          <w:rFonts w:ascii="仿宋_GB2312" w:hAnsi="宋体" w:eastAsia="仿宋_GB2312"/>
          <w:sz w:val="28"/>
          <w:szCs w:val="28"/>
        </w:rPr>
        <w:t>3</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"_Toc143010283" </w:instrText>
      </w:r>
      <w:r>
        <w:fldChar w:fldCharType="separate"/>
      </w:r>
      <w:r>
        <w:rPr>
          <w:rStyle w:val="13"/>
          <w:rFonts w:hint="eastAsia" w:ascii="仿宋_GB2312" w:hAnsi="宋体" w:eastAsia="仿宋_GB2312"/>
          <w:sz w:val="28"/>
          <w:szCs w:val="28"/>
        </w:rPr>
        <w:t>（五）建议</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_Toc143010283 \h </w:instrText>
      </w:r>
      <w:r>
        <w:rPr>
          <w:rFonts w:hint="eastAsia" w:ascii="仿宋_GB2312" w:hAnsi="宋体" w:eastAsia="仿宋_GB2312"/>
          <w:sz w:val="28"/>
          <w:szCs w:val="28"/>
        </w:rPr>
        <w:fldChar w:fldCharType="separate"/>
      </w:r>
      <w:r>
        <w:rPr>
          <w:rFonts w:ascii="仿宋_GB2312" w:hAnsi="宋体" w:eastAsia="仿宋_GB2312"/>
          <w:sz w:val="28"/>
          <w:szCs w:val="28"/>
        </w:rPr>
        <w:t>3</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9"/>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"_Toc143010284" </w:instrText>
      </w:r>
      <w:r>
        <w:fldChar w:fldCharType="separate"/>
      </w:r>
      <w:r>
        <w:rPr>
          <w:rStyle w:val="13"/>
          <w:rFonts w:hint="eastAsia" w:ascii="仿宋_GB2312" w:hAnsi="宋体" w:eastAsia="仿宋_GB2312" w:cs="黑体"/>
          <w:sz w:val="28"/>
          <w:szCs w:val="28"/>
        </w:rPr>
        <w:t>二、佐证材料</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_Toc143010284 \h </w:instrText>
      </w:r>
      <w:r>
        <w:rPr>
          <w:rFonts w:hint="eastAsia" w:ascii="仿宋_GB2312" w:hAnsi="宋体" w:eastAsia="仿宋_GB2312"/>
          <w:sz w:val="28"/>
          <w:szCs w:val="28"/>
        </w:rPr>
        <w:fldChar w:fldCharType="separate"/>
      </w:r>
      <w:r>
        <w:rPr>
          <w:rFonts w:ascii="仿宋_GB2312" w:hAnsi="宋体" w:eastAsia="仿宋_GB2312"/>
          <w:sz w:val="28"/>
          <w:szCs w:val="28"/>
        </w:rPr>
        <w:t>10</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"_Toc143010285" </w:instrText>
      </w:r>
      <w:r>
        <w:fldChar w:fldCharType="separate"/>
      </w:r>
      <w:r>
        <w:rPr>
          <w:rStyle w:val="13"/>
          <w:rFonts w:hint="eastAsia" w:ascii="仿宋_GB2312" w:hAnsi="宋体" w:eastAsia="仿宋_GB2312" w:cs="楷体_GB2312"/>
          <w:sz w:val="28"/>
          <w:szCs w:val="28"/>
        </w:rPr>
        <w:t>（一）基本情况</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_Toc143010285 \h </w:instrText>
      </w:r>
      <w:r>
        <w:rPr>
          <w:rFonts w:hint="eastAsia" w:ascii="仿宋_GB2312" w:hAnsi="宋体" w:eastAsia="仿宋_GB2312"/>
          <w:sz w:val="28"/>
          <w:szCs w:val="28"/>
        </w:rPr>
        <w:fldChar w:fldCharType="separate"/>
      </w:r>
      <w:r>
        <w:rPr>
          <w:rFonts w:ascii="仿宋_GB2312" w:hAnsi="宋体" w:eastAsia="仿宋_GB2312"/>
          <w:sz w:val="28"/>
          <w:szCs w:val="28"/>
        </w:rPr>
        <w:t>10</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"_Toc143010286" </w:instrText>
      </w:r>
      <w:r>
        <w:fldChar w:fldCharType="separate"/>
      </w:r>
      <w:r>
        <w:rPr>
          <w:rStyle w:val="13"/>
          <w:rFonts w:hint="eastAsia" w:ascii="仿宋_GB2312" w:hAnsi="宋体" w:eastAsia="仿宋_GB2312" w:cs="楷体_GB2312"/>
          <w:sz w:val="28"/>
          <w:szCs w:val="28"/>
        </w:rPr>
        <w:t>（二）绩效评价工作开展情况</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_Toc143010286 \h </w:instrText>
      </w:r>
      <w:r>
        <w:rPr>
          <w:rFonts w:hint="eastAsia" w:ascii="仿宋_GB2312" w:hAnsi="宋体" w:eastAsia="仿宋_GB2312"/>
          <w:sz w:val="28"/>
          <w:szCs w:val="28"/>
        </w:rPr>
        <w:fldChar w:fldCharType="separate"/>
      </w:r>
      <w:r>
        <w:rPr>
          <w:rFonts w:ascii="仿宋_GB2312" w:hAnsi="宋体" w:eastAsia="仿宋_GB2312"/>
          <w:sz w:val="28"/>
          <w:szCs w:val="28"/>
        </w:rPr>
        <w:t>12</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"_Toc143010287" </w:instrText>
      </w:r>
      <w:r>
        <w:fldChar w:fldCharType="separate"/>
      </w:r>
      <w:r>
        <w:rPr>
          <w:rStyle w:val="13"/>
          <w:rFonts w:hint="eastAsia" w:ascii="仿宋_GB2312" w:hAnsi="宋体" w:eastAsia="仿宋_GB2312" w:cs="楷体_GB2312"/>
          <w:sz w:val="28"/>
          <w:szCs w:val="28"/>
        </w:rPr>
        <w:t>（三）绩效评价指标完成情况分析</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_Toc143010287 \h </w:instrText>
      </w:r>
      <w:r>
        <w:rPr>
          <w:rFonts w:hint="eastAsia" w:ascii="仿宋_GB2312" w:hAnsi="宋体" w:eastAsia="仿宋_GB2312"/>
          <w:sz w:val="28"/>
          <w:szCs w:val="28"/>
        </w:rPr>
        <w:fldChar w:fldCharType="separate"/>
      </w:r>
      <w:r>
        <w:rPr>
          <w:rFonts w:ascii="仿宋_GB2312" w:hAnsi="宋体" w:eastAsia="仿宋_GB2312"/>
          <w:sz w:val="28"/>
          <w:szCs w:val="28"/>
        </w:rPr>
        <w:t>15</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"_Toc143010288" </w:instrText>
      </w:r>
      <w:r>
        <w:fldChar w:fldCharType="separate"/>
      </w:r>
      <w:r>
        <w:rPr>
          <w:rStyle w:val="13"/>
          <w:rFonts w:hint="eastAsia" w:ascii="仿宋_GB2312" w:hAnsi="宋体" w:eastAsia="仿宋_GB2312"/>
          <w:sz w:val="28"/>
          <w:szCs w:val="28"/>
        </w:rPr>
        <w:t>（四）</w:t>
      </w:r>
      <w:r>
        <w:rPr>
          <w:rStyle w:val="13"/>
          <w:rFonts w:hint="eastAsia" w:ascii="仿宋_GB2312" w:hAnsi="宋体" w:eastAsia="仿宋_GB2312" w:cs="楷体"/>
          <w:kern w:val="0"/>
          <w:sz w:val="28"/>
          <w:szCs w:val="28"/>
        </w:rPr>
        <w:t>其他需说明的问题</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_Toc143010288 \h </w:instrText>
      </w:r>
      <w:r>
        <w:rPr>
          <w:rFonts w:hint="eastAsia" w:ascii="仿宋_GB2312" w:hAnsi="宋体" w:eastAsia="仿宋_GB2312"/>
          <w:sz w:val="28"/>
          <w:szCs w:val="28"/>
        </w:rPr>
        <w:fldChar w:fldCharType="separate"/>
      </w:r>
      <w:r>
        <w:rPr>
          <w:rFonts w:ascii="仿宋_GB2312" w:hAnsi="宋体" w:eastAsia="仿宋_GB2312"/>
          <w:sz w:val="28"/>
          <w:szCs w:val="28"/>
        </w:rPr>
        <w:t>23</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pStyle w:val="10"/>
        <w:tabs>
          <w:tab w:val="right" w:leader="dot" w:pos="8835"/>
        </w:tabs>
        <w:spacing w:line="560" w:lineRule="exact"/>
        <w:rPr>
          <w:rFonts w:hint="eastAsia" w:ascii="仿宋_GB2312" w:hAnsi="宋体" w:eastAsia="仿宋_GB2312" w:cstheme="minorBidi"/>
          <w:sz w:val="28"/>
          <w:szCs w:val="28"/>
          <w14:ligatures w14:val="standardContextual"/>
        </w:rPr>
      </w:pPr>
      <w:r>
        <w:fldChar w:fldCharType="begin"/>
      </w:r>
      <w:r>
        <w:instrText xml:space="preserve"> HYPERLINK \l "_Toc143010289" </w:instrText>
      </w:r>
      <w:r>
        <w:fldChar w:fldCharType="separate"/>
      </w:r>
      <w:r>
        <w:rPr>
          <w:rStyle w:val="13"/>
          <w:rFonts w:hint="eastAsia" w:ascii="仿宋_GB2312" w:hAnsi="宋体" w:eastAsia="仿宋_GB2312" w:cs="楷体_GB2312"/>
          <w:sz w:val="28"/>
          <w:szCs w:val="28"/>
        </w:rPr>
        <w:t>（五)其他佐证材料</w:t>
      </w:r>
      <w:r>
        <w:rPr>
          <w:rFonts w:hint="eastAsia" w:ascii="仿宋_GB2312" w:hAnsi="宋体" w:eastAsia="仿宋_GB2312"/>
          <w:sz w:val="28"/>
          <w:szCs w:val="28"/>
        </w:rPr>
        <w:tab/>
      </w:r>
      <w:r>
        <w:rPr>
          <w:rFonts w:hint="eastAsia" w:ascii="仿宋_GB2312" w:hAnsi="宋体" w:eastAsia="仿宋_GB2312"/>
          <w:sz w:val="28"/>
          <w:szCs w:val="28"/>
        </w:rPr>
        <w:fldChar w:fldCharType="begin"/>
      </w:r>
      <w:r>
        <w:rPr>
          <w:rFonts w:hint="eastAsia" w:ascii="仿宋_GB2312" w:hAnsi="宋体" w:eastAsia="仿宋_GB2312"/>
          <w:sz w:val="28"/>
          <w:szCs w:val="28"/>
        </w:rPr>
        <w:instrText xml:space="preserve"> PAGEREF _Toc143010289 \h </w:instrText>
      </w:r>
      <w:r>
        <w:rPr>
          <w:rFonts w:hint="eastAsia" w:ascii="仿宋_GB2312" w:hAnsi="宋体" w:eastAsia="仿宋_GB2312"/>
          <w:sz w:val="28"/>
          <w:szCs w:val="28"/>
        </w:rPr>
        <w:fldChar w:fldCharType="separate"/>
      </w:r>
      <w:r>
        <w:rPr>
          <w:rFonts w:ascii="仿宋_GB2312" w:hAnsi="宋体" w:eastAsia="仿宋_GB2312"/>
          <w:sz w:val="28"/>
          <w:szCs w:val="28"/>
        </w:rPr>
        <w:t>24</w:t>
      </w:r>
      <w:r>
        <w:rPr>
          <w:rFonts w:hint="eastAsia" w:ascii="仿宋_GB2312" w:hAnsi="宋体" w:eastAsia="仿宋_GB2312"/>
          <w:sz w:val="28"/>
          <w:szCs w:val="28"/>
        </w:rPr>
        <w:fldChar w:fldCharType="end"/>
      </w:r>
      <w:r>
        <w:rPr>
          <w:rFonts w:hint="eastAsia" w:ascii="仿宋_GB2312" w:hAnsi="宋体" w:eastAsia="仿宋_GB2312"/>
          <w:sz w:val="28"/>
          <w:szCs w:val="28"/>
        </w:rPr>
        <w:fldChar w:fldCharType="end"/>
      </w:r>
    </w:p>
    <w:p>
      <w:pPr>
        <w:spacing w:line="560" w:lineRule="exact"/>
        <w:rPr>
          <w:sz w:val="20"/>
          <w:szCs w:val="22"/>
        </w:rPr>
        <w:sectPr>
          <w:pgSz w:w="11906" w:h="16838"/>
          <w:pgMar w:top="2098" w:right="1474" w:bottom="1984" w:left="1587" w:header="851" w:footer="992" w:gutter="0"/>
          <w:cols w:space="425" w:num="1"/>
          <w:docGrid w:type="lines" w:linePitch="312" w:charSpace="0"/>
        </w:sectPr>
      </w:pPr>
      <w:r>
        <w:rPr>
          <w:rFonts w:hint="eastAsia" w:ascii="仿宋_GB2312" w:hAnsi="宋体" w:eastAsia="仿宋_GB2312"/>
          <w:sz w:val="24"/>
          <w:szCs w:val="32"/>
        </w:rPr>
        <w:fldChar w:fldCharType="end"/>
      </w:r>
    </w:p>
    <w:p>
      <w:pPr>
        <w:spacing w:line="560" w:lineRule="exact"/>
        <w:jc w:val="center"/>
        <w:rPr>
          <w:rFonts w:ascii="华文中宋" w:hAnsi="华文中宋" w:eastAsia="华文中宋" w:cs="方正小标宋简体"/>
          <w:b/>
          <w:bCs/>
          <w:sz w:val="44"/>
          <w:szCs w:val="44"/>
        </w:rPr>
      </w:pPr>
      <w:r>
        <w:rPr>
          <w:rFonts w:hint="eastAsia" w:ascii="华文中宋" w:hAnsi="华文中宋" w:eastAsia="华文中宋" w:cs="方正小标宋简体"/>
          <w:b/>
          <w:bCs/>
          <w:sz w:val="44"/>
          <w:szCs w:val="44"/>
        </w:rPr>
        <w:t>2022年中央财政城镇保障性工程补助资金</w:t>
      </w:r>
    </w:p>
    <w:p>
      <w:pPr>
        <w:spacing w:line="560" w:lineRule="exact"/>
        <w:jc w:val="center"/>
        <w:rPr>
          <w:rFonts w:ascii="华文中宋" w:hAnsi="华文中宋" w:eastAsia="华文中宋" w:cs="方正小标宋简体"/>
          <w:b/>
          <w:bCs/>
          <w:sz w:val="44"/>
          <w:szCs w:val="44"/>
        </w:rPr>
      </w:pPr>
      <w:r>
        <w:rPr>
          <w:rFonts w:hint="eastAsia" w:ascii="华文中宋" w:hAnsi="华文中宋" w:eastAsia="华文中宋" w:cs="方正小标宋简体"/>
          <w:b/>
          <w:bCs/>
          <w:sz w:val="44"/>
          <w:szCs w:val="44"/>
        </w:rPr>
        <w:t>项目绩效评价报告</w:t>
      </w:r>
    </w:p>
    <w:p>
      <w:pPr>
        <w:spacing w:line="560" w:lineRule="exact"/>
        <w:jc w:val="center"/>
        <w:rPr>
          <w:rFonts w:ascii="华文中宋" w:hAnsi="华文中宋" w:eastAsia="华文中宋" w:cs="楷体_GB2312"/>
          <w:b/>
          <w:bCs/>
          <w:sz w:val="32"/>
          <w:szCs w:val="32"/>
        </w:rPr>
      </w:pPr>
      <w:r>
        <w:rPr>
          <w:rFonts w:hint="eastAsia" w:ascii="华文中宋" w:hAnsi="华文中宋" w:eastAsia="华文中宋" w:cs="楷体_GB2312"/>
          <w:b/>
          <w:bCs/>
          <w:sz w:val="32"/>
          <w:szCs w:val="32"/>
        </w:rPr>
        <w:t>（缩略版）</w:t>
      </w:r>
    </w:p>
    <w:p>
      <w:pPr>
        <w:spacing w:line="560" w:lineRule="exact"/>
        <w:ind w:firstLine="600" w:firstLineChars="200"/>
        <w:rPr>
          <w:rFonts w:ascii="仿宋_GB2312" w:hAnsi="Times New Roman" w:eastAsia="仿宋_GB2312"/>
          <w:sz w:val="30"/>
          <w:szCs w:val="30"/>
        </w:rPr>
      </w:pPr>
    </w:p>
    <w:p>
      <w:pPr>
        <w:spacing w:line="560" w:lineRule="exact"/>
        <w:ind w:firstLine="640" w:firstLineChars="200"/>
        <w:outlineLvl w:val="0"/>
        <w:rPr>
          <w:rFonts w:ascii="黑体" w:hAnsi="黑体" w:eastAsia="黑体" w:cs="黑体"/>
          <w:sz w:val="32"/>
          <w:szCs w:val="32"/>
        </w:rPr>
      </w:pPr>
      <w:bookmarkStart w:id="0" w:name="_Toc143010278"/>
      <w:r>
        <w:rPr>
          <w:rFonts w:hint="eastAsia" w:ascii="黑体" w:hAnsi="黑体" w:eastAsia="黑体" w:cs="黑体"/>
          <w:sz w:val="32"/>
          <w:szCs w:val="32"/>
        </w:rPr>
        <w:t>一、评价结论</w:t>
      </w:r>
      <w:bookmarkEnd w:id="0"/>
    </w:p>
    <w:p>
      <w:pPr>
        <w:spacing w:line="560" w:lineRule="exact"/>
        <w:ind w:firstLine="643" w:firstLineChars="200"/>
        <w:outlineLvl w:val="1"/>
        <w:rPr>
          <w:rFonts w:ascii="楷体_GB2312" w:hAnsi="楷体_GB2312" w:eastAsia="楷体_GB2312" w:cs="楷体_GB2312"/>
          <w:b/>
          <w:bCs/>
          <w:sz w:val="32"/>
          <w:szCs w:val="32"/>
        </w:rPr>
      </w:pPr>
      <w:bookmarkStart w:id="1" w:name="_Toc143010279"/>
      <w:r>
        <w:rPr>
          <w:rFonts w:hint="eastAsia" w:ascii="楷体_GB2312" w:hAnsi="楷体_GB2312" w:eastAsia="楷体_GB2312" w:cs="楷体_GB2312"/>
          <w:b/>
          <w:bCs/>
          <w:sz w:val="32"/>
          <w:szCs w:val="32"/>
        </w:rPr>
        <w:t>（一）绩效评价分数和等级</w:t>
      </w:r>
      <w:bookmarkEnd w:id="1"/>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通城县2022年中央财政城镇保障性工程补助资金（央、省专项）项目绩效评价指标设计总分100分，绩效评价得分80.52分，评价等级为“良”。（各项指标得分情况详见后附得分表）</w:t>
      </w:r>
    </w:p>
    <w:p>
      <w:pPr>
        <w:spacing w:line="560" w:lineRule="exact"/>
        <w:ind w:firstLine="643" w:firstLineChars="200"/>
        <w:outlineLvl w:val="1"/>
        <w:rPr>
          <w:rFonts w:ascii="楷体_GB2312" w:hAnsi="楷体_GB2312" w:eastAsia="楷体_GB2312" w:cs="楷体_GB2312"/>
          <w:b/>
          <w:bCs/>
          <w:sz w:val="32"/>
          <w:szCs w:val="32"/>
        </w:rPr>
      </w:pPr>
      <w:bookmarkStart w:id="2" w:name="_Toc143010280"/>
      <w:r>
        <w:rPr>
          <w:rFonts w:hint="eastAsia" w:ascii="楷体_GB2312" w:hAnsi="楷体_GB2312" w:eastAsia="楷体_GB2312" w:cs="楷体_GB2312"/>
          <w:b/>
          <w:bCs/>
          <w:sz w:val="32"/>
          <w:szCs w:val="32"/>
        </w:rPr>
        <w:t>（二）绩效评价指标情况</w:t>
      </w:r>
      <w:bookmarkEnd w:id="2"/>
    </w:p>
    <w:p>
      <w:pPr>
        <w:spacing w:line="560" w:lineRule="exact"/>
        <w:ind w:firstLine="643" w:firstLineChars="200"/>
        <w:rPr>
          <w:rFonts w:ascii="仿宋_GB2312" w:hAnsi="仿宋" w:eastAsia="仿宋_GB2312"/>
          <w:sz w:val="32"/>
          <w:szCs w:val="32"/>
          <w:highlight w:val="yellow"/>
        </w:rPr>
      </w:pPr>
      <w:r>
        <w:rPr>
          <w:rFonts w:hint="eastAsia" w:ascii="仿宋_GB2312" w:hAnsi="仿宋" w:eastAsia="仿宋_GB2312" w:cs="宋体"/>
          <w:b/>
          <w:sz w:val="32"/>
          <w:szCs w:val="32"/>
        </w:rPr>
        <w:t>1.决策。</w:t>
      </w:r>
      <w:bookmarkStart w:id="3" w:name="_Hlk70499057"/>
      <w:r>
        <w:rPr>
          <w:rFonts w:hint="eastAsia" w:ascii="仿宋_GB2312" w:hAnsi="仿宋" w:eastAsia="仿宋_GB2312" w:cs="宋体"/>
          <w:bCs/>
          <w:sz w:val="32"/>
          <w:szCs w:val="32"/>
        </w:rPr>
        <w:t>决策权重</w:t>
      </w:r>
      <w:r>
        <w:rPr>
          <w:rFonts w:hint="eastAsia" w:ascii="仿宋_GB2312" w:hAnsi="仿宋" w:eastAsia="仿宋_GB2312" w:cs="Calibri"/>
          <w:sz w:val="32"/>
          <w:szCs w:val="32"/>
        </w:rPr>
        <w:t>17</w:t>
      </w:r>
      <w:r>
        <w:rPr>
          <w:rFonts w:hint="eastAsia" w:ascii="仿宋_GB2312" w:hAnsi="仿宋" w:eastAsia="仿宋_GB2312"/>
          <w:sz w:val="32"/>
          <w:szCs w:val="32"/>
        </w:rPr>
        <w:t>分，得分1</w:t>
      </w:r>
      <w:r>
        <w:rPr>
          <w:rFonts w:ascii="仿宋_GB2312" w:hAnsi="仿宋" w:eastAsia="仿宋_GB2312"/>
          <w:sz w:val="32"/>
          <w:szCs w:val="32"/>
        </w:rPr>
        <w:t>4</w:t>
      </w:r>
      <w:r>
        <w:rPr>
          <w:rFonts w:hint="eastAsia" w:ascii="仿宋_GB2312" w:hAnsi="仿宋" w:eastAsia="仿宋_GB2312"/>
          <w:sz w:val="32"/>
          <w:szCs w:val="32"/>
        </w:rPr>
        <w:t>分，扣分</w:t>
      </w:r>
      <w:r>
        <w:rPr>
          <w:rFonts w:ascii="仿宋_GB2312" w:hAnsi="仿宋" w:eastAsia="仿宋_GB2312"/>
          <w:sz w:val="32"/>
          <w:szCs w:val="32"/>
        </w:rPr>
        <w:t>3</w:t>
      </w:r>
      <w:r>
        <w:rPr>
          <w:rFonts w:hint="eastAsia" w:ascii="仿宋_GB2312" w:hAnsi="仿宋" w:eastAsia="仿宋_GB2312" w:cs="宋体"/>
          <w:sz w:val="32"/>
          <w:szCs w:val="32"/>
        </w:rPr>
        <w:t>分。</w:t>
      </w:r>
      <w:bookmarkEnd w:id="3"/>
      <w:r>
        <w:rPr>
          <w:rFonts w:hint="eastAsia" w:ascii="仿宋_GB2312" w:hAnsi="仿宋" w:eastAsia="仿宋_GB2312" w:cs="宋体"/>
          <w:sz w:val="32"/>
          <w:szCs w:val="32"/>
        </w:rPr>
        <w:t>项目</w:t>
      </w:r>
      <w:r>
        <w:rPr>
          <w:rFonts w:hint="eastAsia" w:ascii="仿宋_GB2312" w:hAnsi="仿宋" w:eastAsia="仿宋_GB2312"/>
          <w:sz w:val="32"/>
          <w:szCs w:val="32"/>
        </w:rPr>
        <w:t>立项依据充分，申报审批程序规范；预算指标编制基本合理、资金安排与分配较为合理</w:t>
      </w:r>
      <w:r>
        <w:rPr>
          <w:rFonts w:hint="eastAsia" w:ascii="仿宋_GB2312" w:hAnsi="仿宋" w:eastAsia="仿宋_GB2312" w:cs="宋体"/>
          <w:bCs/>
          <w:sz w:val="32"/>
          <w:szCs w:val="32"/>
        </w:rPr>
        <w:t>。主要扣分点在于：</w:t>
      </w:r>
      <w:r>
        <w:rPr>
          <w:rFonts w:hint="eastAsia" w:ascii="仿宋_GB2312" w:hAnsi="仿宋" w:eastAsia="仿宋_GB2312"/>
          <w:sz w:val="32"/>
          <w:szCs w:val="32"/>
        </w:rPr>
        <w:t>一是指标设置不全面，未设置与项目建设内容相关的产出指标和体现项目建设成果的满意度指标；二是指标设置不规范，项目设置的效益指标与建设内容实际不相符。</w:t>
      </w:r>
    </w:p>
    <w:p>
      <w:pPr>
        <w:spacing w:line="560" w:lineRule="exact"/>
        <w:ind w:firstLine="643" w:firstLineChars="200"/>
        <w:rPr>
          <w:rFonts w:ascii="仿宋_GB2312" w:hAnsi="仿宋" w:eastAsia="仿宋_GB2312"/>
          <w:sz w:val="32"/>
          <w:szCs w:val="32"/>
        </w:rPr>
      </w:pPr>
      <w:r>
        <w:rPr>
          <w:rFonts w:hint="eastAsia" w:ascii="仿宋_GB2312" w:hAnsi="仿宋" w:eastAsia="仿宋_GB2312" w:cs="宋体"/>
          <w:b/>
          <w:sz w:val="32"/>
          <w:szCs w:val="32"/>
        </w:rPr>
        <w:t>2.过程。</w:t>
      </w:r>
      <w:r>
        <w:rPr>
          <w:rFonts w:hint="eastAsia" w:ascii="仿宋_GB2312" w:hAnsi="仿宋" w:eastAsia="仿宋_GB2312"/>
          <w:sz w:val="32"/>
          <w:szCs w:val="32"/>
        </w:rPr>
        <w:t>过程权重22分，得分</w:t>
      </w:r>
      <w:r>
        <w:rPr>
          <w:rFonts w:ascii="仿宋_GB2312" w:hAnsi="仿宋" w:eastAsia="仿宋_GB2312"/>
          <w:sz w:val="32"/>
          <w:szCs w:val="32"/>
        </w:rPr>
        <w:t>15.78</w:t>
      </w:r>
      <w:r>
        <w:rPr>
          <w:rFonts w:hint="eastAsia" w:ascii="仿宋_GB2312" w:hAnsi="仿宋" w:eastAsia="仿宋_GB2312"/>
          <w:sz w:val="32"/>
          <w:szCs w:val="32"/>
        </w:rPr>
        <w:t>分，扣分</w:t>
      </w:r>
      <w:r>
        <w:rPr>
          <w:rFonts w:ascii="仿宋_GB2312" w:hAnsi="仿宋" w:eastAsia="仿宋_GB2312"/>
          <w:sz w:val="32"/>
          <w:szCs w:val="32"/>
        </w:rPr>
        <w:t>6.22</w:t>
      </w:r>
      <w:r>
        <w:rPr>
          <w:rFonts w:hint="eastAsia" w:ascii="仿宋_GB2312" w:hAnsi="仿宋" w:eastAsia="仿宋_GB2312"/>
          <w:sz w:val="32"/>
          <w:szCs w:val="32"/>
        </w:rPr>
        <w:t>分。项目安排的专项资金全额到位，项目预算资金按照计划执行，制定了财务和业务管理制度，项目的申报、审核、及资金拨付管理工作基本规范；主要扣分点在于：一是资金使用未设立专户，未执行专款专户规定；二是项目核算采用序时流水账的形式进行记录，未按项目进行分类核算，未进行资产核算；三是施工合同约定，施工开工日期:2022年8月19日，工程竣工日期:2023年6月16日，截止项目抽查日，未按合同约定完工时间完成施工任务。</w:t>
      </w:r>
    </w:p>
    <w:p>
      <w:pPr>
        <w:spacing w:line="560" w:lineRule="exact"/>
        <w:ind w:firstLine="615"/>
        <w:rPr>
          <w:rFonts w:ascii="仿宋_GB2312" w:hAnsi="仿宋" w:eastAsia="仿宋_GB2312" w:cs="楷体"/>
          <w:bCs/>
          <w:sz w:val="32"/>
          <w:szCs w:val="32"/>
        </w:rPr>
      </w:pPr>
      <w:r>
        <w:rPr>
          <w:rFonts w:hint="eastAsia" w:ascii="仿宋_GB2312" w:hAnsi="仿宋" w:eastAsia="仿宋_GB2312"/>
          <w:b/>
          <w:sz w:val="32"/>
          <w:szCs w:val="32"/>
        </w:rPr>
        <w:t>3.产出。</w:t>
      </w:r>
      <w:r>
        <w:rPr>
          <w:rFonts w:hint="eastAsia" w:ascii="仿宋_GB2312" w:hAnsi="仿宋" w:eastAsia="仿宋_GB2312"/>
          <w:sz w:val="32"/>
          <w:szCs w:val="32"/>
        </w:rPr>
        <w:t>产出权重3</w:t>
      </w:r>
      <w:r>
        <w:rPr>
          <w:rFonts w:ascii="仿宋_GB2312" w:hAnsi="仿宋" w:eastAsia="仿宋_GB2312"/>
          <w:sz w:val="32"/>
          <w:szCs w:val="32"/>
        </w:rPr>
        <w:t>7</w:t>
      </w:r>
      <w:r>
        <w:rPr>
          <w:rFonts w:hint="eastAsia" w:ascii="仿宋_GB2312" w:hAnsi="仿宋" w:eastAsia="仿宋_GB2312"/>
          <w:sz w:val="32"/>
          <w:szCs w:val="32"/>
        </w:rPr>
        <w:t>分，得分28.74分，扣分8.26分。公租房租赁补贴全额发放，老旧小区改造完工90%。</w:t>
      </w:r>
      <w:r>
        <w:rPr>
          <w:rFonts w:hint="eastAsia" w:ascii="仿宋_GB2312" w:hAnsi="仿宋" w:eastAsia="仿宋_GB2312" w:cs="楷体"/>
          <w:bCs/>
          <w:sz w:val="32"/>
          <w:szCs w:val="32"/>
        </w:rPr>
        <w:t>主要扣分点在于：一是项目工程实际产出数量没有达到计划约定的产出数量；二是项目未及时完工验收，不能全面考评其产出质量、产出成本情况。</w:t>
      </w:r>
    </w:p>
    <w:p>
      <w:pPr>
        <w:spacing w:line="560" w:lineRule="exact"/>
        <w:ind w:firstLine="643" w:firstLineChars="200"/>
        <w:rPr>
          <w:rFonts w:ascii="仿宋_GB2312" w:hAnsi="仿宋" w:eastAsia="仿宋_GB2312"/>
          <w:sz w:val="32"/>
          <w:szCs w:val="32"/>
        </w:rPr>
      </w:pPr>
      <w:r>
        <w:rPr>
          <w:rFonts w:hint="eastAsia" w:ascii="仿宋_GB2312" w:hAnsi="仿宋" w:eastAsia="仿宋_GB2312" w:cs="楷体"/>
          <w:b/>
          <w:bCs/>
          <w:sz w:val="32"/>
          <w:szCs w:val="32"/>
        </w:rPr>
        <w:t>4.效果。</w:t>
      </w:r>
      <w:r>
        <w:rPr>
          <w:rFonts w:hint="eastAsia" w:ascii="仿宋_GB2312" w:hAnsi="仿宋" w:eastAsia="仿宋_GB2312"/>
          <w:sz w:val="32"/>
          <w:szCs w:val="32"/>
        </w:rPr>
        <w:t>效果权重2</w:t>
      </w:r>
      <w:r>
        <w:rPr>
          <w:rFonts w:ascii="仿宋_GB2312" w:hAnsi="仿宋" w:eastAsia="仿宋_GB2312"/>
          <w:sz w:val="32"/>
          <w:szCs w:val="32"/>
        </w:rPr>
        <w:t>4</w:t>
      </w:r>
      <w:r>
        <w:rPr>
          <w:rFonts w:hint="eastAsia" w:ascii="仿宋_GB2312" w:hAnsi="仿宋" w:eastAsia="仿宋_GB2312"/>
          <w:sz w:val="32"/>
          <w:szCs w:val="32"/>
        </w:rPr>
        <w:t>分，得分22分，扣2分。项目通过对老旧小区的机动车道、人行步道、雨水管道、污水管道、电力管道、停车场等便民基础设施的改造，有效的改善了居民生活环境，提升了居民生活品质；公租房租赁补贴解决了困难家庭住房难问题，社会稳定。通过问卷调查了解，群众对项目满意度较高，问卷调查满意度≥9</w:t>
      </w:r>
      <w:r>
        <w:rPr>
          <w:rFonts w:ascii="仿宋_GB2312" w:hAnsi="仿宋" w:eastAsia="仿宋_GB2312"/>
          <w:sz w:val="32"/>
          <w:szCs w:val="32"/>
        </w:rPr>
        <w:t>5%</w:t>
      </w:r>
      <w:r>
        <w:rPr>
          <w:rFonts w:hint="eastAsia" w:ascii="仿宋_GB2312" w:hAnsi="仿宋" w:eastAsia="仿宋_GB2312"/>
          <w:sz w:val="32"/>
          <w:szCs w:val="32"/>
        </w:rPr>
        <w:t>。主要扣分点在于：项目未完工，项目实施效果的体现有待以后验证。</w:t>
      </w:r>
    </w:p>
    <w:p>
      <w:pPr>
        <w:spacing w:line="560" w:lineRule="exact"/>
        <w:ind w:firstLine="643" w:firstLineChars="200"/>
        <w:outlineLvl w:val="1"/>
        <w:rPr>
          <w:rFonts w:ascii="楷体_GB2312" w:hAnsi="楷体_GB2312" w:eastAsia="楷体_GB2312" w:cs="楷体_GB2312"/>
          <w:b/>
          <w:bCs/>
          <w:sz w:val="32"/>
          <w:szCs w:val="32"/>
        </w:rPr>
      </w:pPr>
      <w:bookmarkStart w:id="4" w:name="_Toc143010281"/>
      <w:r>
        <w:rPr>
          <w:rFonts w:hint="eastAsia" w:ascii="楷体_GB2312" w:hAnsi="楷体_GB2312" w:eastAsia="楷体_GB2312" w:cs="楷体_GB2312"/>
          <w:b/>
          <w:bCs/>
          <w:sz w:val="32"/>
          <w:szCs w:val="32"/>
        </w:rPr>
        <w:t>（三）以前年度结果应用情况</w:t>
      </w:r>
      <w:bookmarkEnd w:id="4"/>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2021年上会会计师事务所对2021年中央城镇保障性住房安居工程补助资金项目进行了绩效评价，项目实施的主要内容为16个老旧小区改造及廉租房租赁补贴，项目资金共计1889万元，报告中指出以下问题：①未设置整体绩效目标表；②资金分配不合理；③项目未按时完工；④无预算资料，无资金测算明细。</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在本次评价工作中发现，以前年度结果在本年度予以了应用，对存在的问题进行了修正，但不够完善，如绩效目标设置不到位。</w:t>
      </w:r>
    </w:p>
    <w:p>
      <w:pPr>
        <w:spacing w:line="560" w:lineRule="exact"/>
        <w:ind w:firstLine="643" w:firstLineChars="200"/>
        <w:outlineLvl w:val="1"/>
        <w:rPr>
          <w:rFonts w:ascii="楷体_GB2312" w:hAnsi="楷体_GB2312" w:eastAsia="楷体_GB2312" w:cs="楷体_GB2312"/>
          <w:b/>
          <w:bCs/>
          <w:sz w:val="32"/>
          <w:szCs w:val="32"/>
        </w:rPr>
      </w:pPr>
      <w:bookmarkStart w:id="5" w:name="_Toc143010282"/>
      <w:r>
        <w:rPr>
          <w:rFonts w:hint="eastAsia" w:ascii="楷体_GB2312" w:hAnsi="楷体_GB2312" w:eastAsia="楷体_GB2312" w:cs="楷体_GB2312"/>
          <w:b/>
          <w:bCs/>
          <w:sz w:val="32"/>
          <w:szCs w:val="32"/>
        </w:rPr>
        <w:t>（四）存在的问题和原因</w:t>
      </w:r>
      <w:bookmarkEnd w:id="5"/>
    </w:p>
    <w:p>
      <w:pPr>
        <w:spacing w:line="560" w:lineRule="exact"/>
        <w:ind w:firstLine="643" w:firstLineChars="200"/>
        <w:rPr>
          <w:rFonts w:ascii="仿宋_GB2312" w:hAnsi="Times New Roman" w:eastAsia="仿宋_GB2312"/>
          <w:b/>
          <w:bCs/>
          <w:sz w:val="32"/>
          <w:szCs w:val="32"/>
        </w:rPr>
      </w:pPr>
      <w:r>
        <w:rPr>
          <w:rFonts w:hint="eastAsia" w:ascii="仿宋_GB2312" w:hAnsi="Times New Roman" w:eastAsia="仿宋_GB2312"/>
          <w:b/>
          <w:bCs/>
          <w:sz w:val="32"/>
          <w:szCs w:val="32"/>
        </w:rPr>
        <w:t>1.项目绩效管理不到位。</w:t>
      </w:r>
      <w:r>
        <w:rPr>
          <w:rFonts w:hint="eastAsia" w:ascii="仿宋_GB2312" w:hAnsi="Times New Roman" w:eastAsia="仿宋_GB2312"/>
          <w:sz w:val="32"/>
          <w:szCs w:val="32"/>
        </w:rPr>
        <w:t>一是绩效目标设置不全面，仅设置了效益指标，未设置产出指标和满意度指标。二是绩效目标与实际内容不符，设置的效益指标反映的是小区个数、小区面积，未结合实际建设内容设定绩效目标。三是未开展绩效运行中期监控，不便于发现问题及时纠偏。</w:t>
      </w:r>
    </w:p>
    <w:p>
      <w:pPr>
        <w:spacing w:line="560" w:lineRule="exact"/>
        <w:ind w:firstLine="643" w:firstLineChars="200"/>
        <w:rPr>
          <w:rFonts w:ascii="仿宋_GB2312" w:hAnsi="仿宋" w:eastAsia="仿宋_GB2312"/>
          <w:color w:val="000000"/>
          <w:sz w:val="32"/>
          <w:szCs w:val="32"/>
        </w:rPr>
      </w:pPr>
      <w:r>
        <w:rPr>
          <w:rFonts w:hint="eastAsia" w:ascii="仿宋_GB2312" w:hAnsi="仿宋" w:eastAsia="仿宋_GB2312"/>
          <w:b/>
          <w:bCs/>
          <w:color w:val="000000"/>
          <w:sz w:val="32"/>
          <w:szCs w:val="32"/>
        </w:rPr>
        <w:t>2.项目资金管理不规范。</w:t>
      </w:r>
      <w:r>
        <w:rPr>
          <w:rFonts w:hint="eastAsia" w:ascii="仿宋_GB2312" w:hAnsi="仿宋" w:eastAsia="仿宋_GB2312"/>
          <w:color w:val="000000"/>
          <w:sz w:val="32"/>
          <w:szCs w:val="32"/>
        </w:rPr>
        <w:t>项目资金未按专项资金管理办法规定设置专户进行管理使用，项目资金从通城县财政局国库收付中心打入城投公司武汉农村商业银行通城支行银行账户，使项目专项资金与其他资金混用。</w:t>
      </w:r>
    </w:p>
    <w:p>
      <w:pPr>
        <w:spacing w:line="560" w:lineRule="exact"/>
        <w:ind w:firstLine="643" w:firstLineChars="200"/>
        <w:rPr>
          <w:rFonts w:ascii="仿宋_GB2312" w:hAnsi="Times New Roman" w:eastAsia="仿宋_GB2312"/>
          <w:b/>
          <w:bCs/>
          <w:sz w:val="32"/>
          <w:szCs w:val="32"/>
        </w:rPr>
      </w:pPr>
      <w:r>
        <w:rPr>
          <w:rFonts w:hint="eastAsia" w:ascii="仿宋_GB2312" w:hAnsi="仿宋" w:eastAsia="仿宋_GB2312"/>
          <w:b/>
          <w:bCs/>
          <w:color w:val="000000"/>
          <w:sz w:val="32"/>
          <w:szCs w:val="32"/>
        </w:rPr>
        <w:t>3.会计核算不规范。</w:t>
      </w:r>
      <w:r>
        <w:rPr>
          <w:rFonts w:hint="eastAsia" w:ascii="仿宋_GB2312" w:hAnsi="仿宋" w:eastAsia="仿宋_GB2312"/>
          <w:color w:val="000000"/>
          <w:sz w:val="32"/>
          <w:szCs w:val="32"/>
        </w:rPr>
        <w:t>一是项目支出只是按时间顺序记录流水账，未按小区或项目合同进行分类核算，导致无法核实项目实际支出情况。二是未进行资产核算，项目支出形成的资产未能在财务账上进行记录反映。</w:t>
      </w:r>
    </w:p>
    <w:p>
      <w:pPr>
        <w:spacing w:line="560" w:lineRule="exact"/>
        <w:ind w:firstLine="643" w:firstLineChars="200"/>
        <w:rPr>
          <w:rFonts w:ascii="仿宋_GB2312" w:hAnsi="仿宋" w:eastAsia="仿宋_GB2312"/>
          <w:color w:val="000000"/>
          <w:sz w:val="32"/>
          <w:szCs w:val="32"/>
          <w:highlight w:val="yellow"/>
        </w:rPr>
      </w:pPr>
      <w:r>
        <w:rPr>
          <w:rFonts w:hint="eastAsia" w:ascii="仿宋_GB2312" w:hAnsi="仿宋" w:eastAsia="仿宋_GB2312"/>
          <w:b/>
          <w:bCs/>
          <w:color w:val="000000"/>
          <w:sz w:val="32"/>
          <w:szCs w:val="32"/>
        </w:rPr>
        <w:t>4.工程进展缓慢。</w:t>
      </w:r>
      <w:r>
        <w:rPr>
          <w:rFonts w:hint="eastAsia" w:ascii="仿宋_GB2312" w:hAnsi="仿宋" w:eastAsia="仿宋_GB2312"/>
          <w:color w:val="000000"/>
          <w:sz w:val="32"/>
          <w:szCs w:val="32"/>
        </w:rPr>
        <w:t>合同约定开工日期为2022年8月19日，工程竣工日期为2023年6月16日，项目按时开工，但截止评价日，项目尚未完工，现场抽查的小区情况看，整体工程进度约90%，工程建设滞后，项目资金不能及时发挥应有作用。同时也导致对该项目的产出质量、产出时效、产出成本等无法全面考评。</w:t>
      </w:r>
    </w:p>
    <w:p>
      <w:pPr>
        <w:spacing w:line="560" w:lineRule="exact"/>
        <w:ind w:firstLine="643" w:firstLineChars="200"/>
        <w:outlineLvl w:val="1"/>
        <w:rPr>
          <w:rFonts w:ascii="楷体_GB2312" w:hAnsi="楷体_GB2312" w:eastAsia="楷体_GB2312" w:cs="楷体_GB2312"/>
          <w:b/>
          <w:bCs/>
          <w:sz w:val="32"/>
          <w:szCs w:val="32"/>
        </w:rPr>
      </w:pPr>
      <w:bookmarkStart w:id="6" w:name="_Toc143010283"/>
      <w:r>
        <w:rPr>
          <w:rFonts w:hint="eastAsia" w:ascii="楷体_GB2312" w:hAnsi="楷体_GB2312" w:eastAsia="楷体_GB2312" w:cs="楷体_GB2312"/>
          <w:b/>
          <w:bCs/>
          <w:sz w:val="32"/>
          <w:szCs w:val="32"/>
        </w:rPr>
        <w:t>（五）建议</w:t>
      </w:r>
      <w:bookmarkEnd w:id="6"/>
    </w:p>
    <w:p>
      <w:pPr>
        <w:spacing w:line="560" w:lineRule="exact"/>
        <w:ind w:firstLine="643" w:firstLineChars="200"/>
        <w:rPr>
          <w:rFonts w:ascii="仿宋_GB2312" w:hAnsi="仿宋" w:eastAsia="仿宋_GB2312"/>
          <w:color w:val="000000"/>
          <w:sz w:val="32"/>
          <w:szCs w:val="32"/>
        </w:rPr>
      </w:pPr>
      <w:r>
        <w:rPr>
          <w:rFonts w:hint="eastAsia" w:ascii="仿宋_GB2312" w:hAnsi="仿宋" w:eastAsia="仿宋_GB2312"/>
          <w:b/>
          <w:color w:val="000000"/>
          <w:sz w:val="32"/>
          <w:szCs w:val="32"/>
        </w:rPr>
        <w:t>1.</w:t>
      </w:r>
      <w:r>
        <w:rPr>
          <w:rFonts w:hint="eastAsia" w:ascii="仿宋" w:hAnsi="仿宋" w:eastAsia="仿宋" w:cs="仿宋"/>
          <w:b/>
          <w:bCs/>
          <w:sz w:val="32"/>
          <w:szCs w:val="32"/>
        </w:rPr>
        <w:t xml:space="preserve"> 加</w:t>
      </w:r>
      <w:r>
        <w:rPr>
          <w:rFonts w:hint="eastAsia" w:ascii="仿宋_GB2312" w:hAnsi="仿宋" w:eastAsia="仿宋_GB2312"/>
          <w:b/>
          <w:color w:val="000000"/>
          <w:sz w:val="32"/>
          <w:szCs w:val="32"/>
        </w:rPr>
        <w:t>强财政资金绩效管理。一是</w:t>
      </w:r>
      <w:r>
        <w:rPr>
          <w:rFonts w:hint="eastAsia" w:ascii="仿宋_GB2312" w:hAnsi="仿宋" w:eastAsia="仿宋_GB2312"/>
          <w:bCs/>
          <w:color w:val="000000"/>
          <w:sz w:val="32"/>
          <w:szCs w:val="32"/>
        </w:rPr>
        <w:t>职能部门应对相关人员加强绩效管理业务知识的培训学习，提高其绩效管理业务水平。二是在编制项目绩效目标时，要围绕项目建设内容和工作任务，设定与资金投入量相匹配的绩效目标，全面反映各项资金投入的产出与效益。绩效目标要细化为清晰、可衡量的具体指标。三是要开展项目资金绩效运行监控，发现偏差及时纠正；项目完工后要及时开展绩效自评，自评结果加以应用，以提高财政资金使用效益。</w:t>
      </w:r>
    </w:p>
    <w:p>
      <w:pPr>
        <w:pStyle w:val="14"/>
        <w:spacing w:line="560" w:lineRule="exact"/>
        <w:ind w:firstLine="643"/>
        <w:rPr>
          <w:rFonts w:ascii="仿宋_GB2312" w:hAnsi="仿宋" w:eastAsia="仿宋_GB2312"/>
          <w:color w:val="000000"/>
          <w:sz w:val="32"/>
          <w:szCs w:val="32"/>
        </w:rPr>
      </w:pPr>
      <w:r>
        <w:rPr>
          <w:rFonts w:ascii="仿宋_GB2312" w:hAnsi="仿宋" w:eastAsia="仿宋_GB2312"/>
          <w:b/>
          <w:bCs/>
          <w:color w:val="000000"/>
          <w:sz w:val="32"/>
          <w:szCs w:val="32"/>
        </w:rPr>
        <w:t>2</w:t>
      </w:r>
      <w:r>
        <w:rPr>
          <w:rFonts w:hint="eastAsia" w:ascii="仿宋_GB2312" w:hAnsi="仿宋" w:eastAsia="仿宋_GB2312"/>
          <w:b/>
          <w:bCs/>
          <w:color w:val="000000"/>
          <w:sz w:val="32"/>
          <w:szCs w:val="32"/>
        </w:rPr>
        <w:t>.强化项目资金管理。</w:t>
      </w:r>
      <w:r>
        <w:rPr>
          <w:rFonts w:hint="eastAsia" w:ascii="仿宋_GB2312" w:hAnsi="仿宋" w:eastAsia="仿宋_GB2312"/>
          <w:color w:val="000000"/>
          <w:sz w:val="32"/>
          <w:szCs w:val="32"/>
        </w:rPr>
        <w:t>针对专项资金项目，要按照专项资金管理办法的规定专款专用，进行专户管理，避免专项资金与其他资金混用，从而规避截留、挤占、挪用、虚列支出等情况，确保项目资金安全完整，提高资金使用效益。</w:t>
      </w:r>
    </w:p>
    <w:p>
      <w:pPr>
        <w:pStyle w:val="14"/>
        <w:spacing w:line="560" w:lineRule="exact"/>
        <w:ind w:firstLine="643"/>
        <w:rPr>
          <w:rFonts w:ascii="仿宋_GB2312" w:hAnsi="仿宋" w:eastAsia="仿宋_GB2312"/>
          <w:b/>
          <w:bCs/>
          <w:color w:val="000000"/>
          <w:sz w:val="32"/>
          <w:szCs w:val="32"/>
        </w:rPr>
      </w:pPr>
      <w:r>
        <w:rPr>
          <w:rFonts w:hint="eastAsia" w:ascii="仿宋_GB2312" w:hAnsi="仿宋" w:eastAsia="仿宋_GB2312"/>
          <w:b/>
          <w:bCs/>
          <w:color w:val="000000"/>
          <w:sz w:val="32"/>
          <w:szCs w:val="32"/>
        </w:rPr>
        <w:t>3.加强会计核算。</w:t>
      </w:r>
      <w:r>
        <w:rPr>
          <w:rFonts w:hint="eastAsia" w:ascii="仿宋_GB2312" w:hAnsi="仿宋" w:eastAsia="仿宋_GB2312"/>
          <w:color w:val="000000"/>
          <w:sz w:val="32"/>
          <w:szCs w:val="32"/>
        </w:rPr>
        <w:t>项目资金的支出要按小区或合同（标段）进行分类核算，及时全面反映项目资金的支出情况。同时对各小区改造中形成的资产要进行明细核算，并进行资产登记，形成资产台账，便于项目竣工验收后的资产移交。</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_GB2312" w:hAnsi="仿宋" w:eastAsia="仿宋_GB2312"/>
          <w:sz w:val="32"/>
          <w:szCs w:val="32"/>
        </w:rPr>
      </w:pPr>
      <w:r>
        <w:rPr>
          <w:rFonts w:hint="eastAsia" w:ascii="仿宋_GB2312" w:hAnsi="仿宋" w:eastAsia="仿宋_GB2312"/>
          <w:b/>
          <w:bCs/>
          <w:sz w:val="32"/>
          <w:szCs w:val="32"/>
        </w:rPr>
        <w:t>4.加快推进项目建设。</w:t>
      </w:r>
      <w:r>
        <w:rPr>
          <w:rFonts w:hint="eastAsia" w:ascii="仿宋_GB2312" w:hAnsi="仿宋" w:eastAsia="仿宋_GB2312"/>
          <w:sz w:val="32"/>
          <w:szCs w:val="32"/>
        </w:rPr>
        <w:t>主管部门应按合同约定加强对项目建设的协调、督办。采取得力措施，加快推进项目建设，促进项目在保证质量的前提下早日完工，确保项目资金早日发挥作用，让小区居民早日享受小区改造成果。</w:t>
      </w:r>
    </w:p>
    <w:p>
      <w:pPr>
        <w:pStyle w:val="2"/>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ascii="华文中宋" w:hAnsi="华文中宋" w:eastAsia="华文中宋" w:cs="楷体"/>
          <w:bCs/>
          <w:sz w:val="32"/>
          <w:szCs w:val="32"/>
        </w:rPr>
      </w:pPr>
      <w:r>
        <w:rPr>
          <w:rFonts w:hint="eastAsia" w:ascii="华文中宋" w:hAnsi="华文中宋" w:eastAsia="华文中宋" w:cs="楷体"/>
          <w:bCs/>
          <w:sz w:val="32"/>
          <w:szCs w:val="32"/>
        </w:rPr>
        <w:t>湖北恒信会计师事务有限公司     主评人：</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华文中宋" w:hAnsi="华文中宋" w:eastAsia="华文中宋" w:cs="楷体"/>
          <w:bCs/>
          <w:sz w:val="32"/>
          <w:szCs w:val="32"/>
        </w:rPr>
      </w:pPr>
      <w:r>
        <w:rPr>
          <w:rFonts w:hint="eastAsia" w:ascii="华文中宋" w:hAnsi="华文中宋" w:eastAsia="华文中宋" w:cs="楷体"/>
          <w:bCs/>
          <w:sz w:val="32"/>
          <w:szCs w:val="32"/>
          <w:lang w:val="en-US" w:eastAsia="zh-CN"/>
        </w:rPr>
        <w:t xml:space="preserve">   </w:t>
      </w:r>
      <w:r>
        <w:rPr>
          <w:rFonts w:hint="eastAsia" w:ascii="华文中宋" w:hAnsi="华文中宋" w:eastAsia="华文中宋" w:cs="楷体"/>
          <w:bCs/>
          <w:sz w:val="32"/>
          <w:szCs w:val="32"/>
        </w:rPr>
        <w:t xml:space="preserve">中国·武汉            </w:t>
      </w:r>
      <w:r>
        <w:rPr>
          <w:rFonts w:ascii="华文中宋" w:hAnsi="华文中宋" w:eastAsia="华文中宋" w:cs="楷体"/>
          <w:bCs/>
          <w:sz w:val="32"/>
          <w:szCs w:val="32"/>
        </w:rPr>
        <w:t xml:space="preserve"> </w:t>
      </w:r>
      <w:r>
        <w:rPr>
          <w:rFonts w:hint="eastAsia" w:ascii="华文中宋" w:hAnsi="华文中宋" w:eastAsia="华文中宋" w:cs="楷体"/>
          <w:bCs/>
          <w:sz w:val="32"/>
          <w:szCs w:val="32"/>
        </w:rPr>
        <w:t xml:space="preserve"> </w:t>
      </w:r>
      <w:r>
        <w:rPr>
          <w:rFonts w:hint="eastAsia" w:ascii="华文中宋" w:hAnsi="华文中宋" w:eastAsia="华文中宋" w:cs="楷体"/>
          <w:bCs/>
          <w:sz w:val="32"/>
          <w:szCs w:val="32"/>
          <w:lang w:val="en-US" w:eastAsia="zh-CN"/>
        </w:rPr>
        <w:t xml:space="preserve">    </w:t>
      </w:r>
      <w:r>
        <w:rPr>
          <w:rFonts w:hint="eastAsia" w:ascii="华文中宋" w:hAnsi="华文中宋" w:eastAsia="华文中宋" w:cs="楷体"/>
          <w:bCs/>
          <w:sz w:val="32"/>
          <w:szCs w:val="32"/>
        </w:rPr>
        <w:t>主评人：</w:t>
      </w:r>
    </w:p>
    <w:p>
      <w:pPr>
        <w:pStyle w:val="2"/>
        <w:rPr>
          <w:rFonts w:hint="eastAsia"/>
        </w:rPr>
      </w:pPr>
    </w:p>
    <w:p>
      <w:pPr>
        <w:keepNext w:val="0"/>
        <w:keepLines w:val="0"/>
        <w:pageBreakBefore w:val="0"/>
        <w:widowControl w:val="0"/>
        <w:kinsoku/>
        <w:wordWrap/>
        <w:overflowPunct/>
        <w:topLinePunct w:val="0"/>
        <w:autoSpaceDE/>
        <w:autoSpaceDN/>
        <w:bidi w:val="0"/>
        <w:adjustRightInd/>
        <w:spacing w:line="560" w:lineRule="exact"/>
        <w:ind w:firstLine="4480" w:firstLineChars="1400"/>
        <w:jc w:val="both"/>
        <w:textAlignment w:val="auto"/>
        <w:rPr>
          <w:rFonts w:ascii="华文中宋" w:hAnsi="华文中宋" w:eastAsia="华文中宋" w:cs="楷体"/>
          <w:bCs/>
          <w:sz w:val="32"/>
          <w:szCs w:val="32"/>
        </w:rPr>
      </w:pPr>
      <w:r>
        <w:rPr>
          <w:rFonts w:hint="eastAsia" w:ascii="华文中宋" w:hAnsi="华文中宋" w:eastAsia="华文中宋" w:cs="楷体"/>
          <w:bCs/>
          <w:sz w:val="32"/>
          <w:szCs w:val="32"/>
        </w:rPr>
        <w:t>20</w:t>
      </w:r>
      <w:r>
        <w:rPr>
          <w:rFonts w:ascii="华文中宋" w:hAnsi="华文中宋" w:eastAsia="华文中宋" w:cs="楷体"/>
          <w:bCs/>
          <w:sz w:val="32"/>
          <w:szCs w:val="32"/>
        </w:rPr>
        <w:t>2</w:t>
      </w:r>
      <w:r>
        <w:rPr>
          <w:rFonts w:hint="eastAsia" w:ascii="华文中宋" w:hAnsi="华文中宋" w:eastAsia="华文中宋" w:cs="楷体"/>
          <w:bCs/>
          <w:sz w:val="32"/>
          <w:szCs w:val="32"/>
        </w:rPr>
        <w:t>3年9月2</w:t>
      </w:r>
      <w:r>
        <w:rPr>
          <w:rFonts w:ascii="华文中宋" w:hAnsi="华文中宋" w:eastAsia="华文中宋" w:cs="楷体"/>
          <w:bCs/>
          <w:sz w:val="32"/>
          <w:szCs w:val="32"/>
        </w:rPr>
        <w:t>8</w:t>
      </w:r>
      <w:r>
        <w:rPr>
          <w:rFonts w:hint="eastAsia" w:ascii="华文中宋" w:hAnsi="华文中宋" w:eastAsia="华文中宋" w:cs="楷体"/>
          <w:bCs/>
          <w:sz w:val="32"/>
          <w:szCs w:val="32"/>
        </w:rPr>
        <w:t>日</w:t>
      </w:r>
    </w:p>
    <w:p>
      <w:pPr>
        <w:rPr>
          <w:rFonts w:ascii="楷体_GB2312" w:hAnsi="楷体_GB2312" w:eastAsia="楷体_GB2312" w:cs="楷体_GB2312"/>
          <w:sz w:val="32"/>
          <w:szCs w:val="32"/>
        </w:rPr>
        <w:sectPr>
          <w:footerReference r:id="rId3" w:type="default"/>
          <w:pgSz w:w="11906" w:h="16838"/>
          <w:pgMar w:top="2098" w:right="1474" w:bottom="1984" w:left="1587" w:header="851" w:footer="992" w:gutter="0"/>
          <w:pgNumType w:start="1"/>
          <w:cols w:space="425" w:num="1"/>
          <w:docGrid w:type="lines" w:linePitch="312" w:charSpace="0"/>
        </w:sectPr>
      </w:pPr>
    </w:p>
    <w:p>
      <w:pPr>
        <w:spacing w:line="56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附件：绩效评价得分表</w:t>
      </w:r>
    </w:p>
    <w:tbl>
      <w:tblPr>
        <w:tblStyle w:val="11"/>
        <w:tblW w:w="15452" w:type="dxa"/>
        <w:tblInd w:w="118" w:type="dxa"/>
        <w:tblLayout w:type="autofit"/>
        <w:tblCellMar>
          <w:top w:w="0" w:type="dxa"/>
          <w:left w:w="108" w:type="dxa"/>
          <w:bottom w:w="0" w:type="dxa"/>
          <w:right w:w="108" w:type="dxa"/>
        </w:tblCellMar>
      </w:tblPr>
      <w:tblGrid>
        <w:gridCol w:w="989"/>
        <w:gridCol w:w="702"/>
        <w:gridCol w:w="1075"/>
        <w:gridCol w:w="2327"/>
        <w:gridCol w:w="6663"/>
        <w:gridCol w:w="708"/>
        <w:gridCol w:w="709"/>
        <w:gridCol w:w="1559"/>
        <w:gridCol w:w="720"/>
      </w:tblGrid>
      <w:tr>
        <w:tblPrEx>
          <w:tblCellMar>
            <w:top w:w="0" w:type="dxa"/>
            <w:left w:w="108" w:type="dxa"/>
            <w:bottom w:w="0" w:type="dxa"/>
            <w:right w:w="108" w:type="dxa"/>
          </w:tblCellMar>
        </w:tblPrEx>
        <w:trPr>
          <w:trHeight w:val="580" w:hRule="atLeast"/>
          <w:tblHeader/>
        </w:trPr>
        <w:tc>
          <w:tcPr>
            <w:tcW w:w="989"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一级指标</w:t>
            </w:r>
          </w:p>
        </w:tc>
        <w:tc>
          <w:tcPr>
            <w:tcW w:w="702" w:type="dxa"/>
            <w:tcBorders>
              <w:top w:val="single" w:color="auto" w:sz="8" w:space="0"/>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二级指标</w:t>
            </w:r>
          </w:p>
        </w:tc>
        <w:tc>
          <w:tcPr>
            <w:tcW w:w="1075" w:type="dxa"/>
            <w:tcBorders>
              <w:top w:val="single" w:color="auto" w:sz="8" w:space="0"/>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三级指标</w:t>
            </w:r>
          </w:p>
        </w:tc>
        <w:tc>
          <w:tcPr>
            <w:tcW w:w="2327" w:type="dxa"/>
            <w:tcBorders>
              <w:top w:val="single" w:color="auto" w:sz="8" w:space="0"/>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指标解释</w:t>
            </w:r>
          </w:p>
        </w:tc>
        <w:tc>
          <w:tcPr>
            <w:tcW w:w="6663" w:type="dxa"/>
            <w:tcBorders>
              <w:top w:val="single" w:color="auto" w:sz="8" w:space="0"/>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指标说明</w:t>
            </w:r>
          </w:p>
        </w:tc>
        <w:tc>
          <w:tcPr>
            <w:tcW w:w="708" w:type="dxa"/>
            <w:tcBorders>
              <w:top w:val="single" w:color="auto" w:sz="8" w:space="0"/>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目标值</w:t>
            </w:r>
          </w:p>
        </w:tc>
        <w:tc>
          <w:tcPr>
            <w:tcW w:w="709"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标准分值</w:t>
            </w:r>
          </w:p>
        </w:tc>
        <w:tc>
          <w:tcPr>
            <w:tcW w:w="1559"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评分标准</w:t>
            </w:r>
          </w:p>
        </w:tc>
        <w:tc>
          <w:tcPr>
            <w:tcW w:w="720" w:type="dxa"/>
            <w:tcBorders>
              <w:top w:val="single" w:color="auto" w:sz="8" w:space="0"/>
              <w:left w:val="nil"/>
              <w:bottom w:val="single" w:color="auto" w:sz="8" w:space="0"/>
              <w:right w:val="single" w:color="auto" w:sz="8" w:space="0"/>
            </w:tcBorders>
            <w:shd w:val="clear" w:color="auto" w:fill="auto"/>
            <w:vAlign w:val="center"/>
          </w:tcPr>
          <w:p>
            <w:pPr>
              <w:widowControl/>
              <w:jc w:val="left"/>
              <w:rPr>
                <w:rFonts w:ascii="仿宋_GB2312" w:hAnsi="等线" w:eastAsia="仿宋_GB2312" w:cs="宋体"/>
                <w:b/>
                <w:bCs/>
                <w:kern w:val="0"/>
                <w:sz w:val="20"/>
                <w:szCs w:val="20"/>
              </w:rPr>
            </w:pPr>
            <w:r>
              <w:rPr>
                <w:rFonts w:hint="eastAsia" w:ascii="仿宋_GB2312" w:hAnsi="等线" w:eastAsia="仿宋_GB2312" w:cs="宋体"/>
                <w:b/>
                <w:bCs/>
                <w:kern w:val="0"/>
                <w:sz w:val="20"/>
                <w:szCs w:val="20"/>
              </w:rPr>
              <w:t>评价得分</w:t>
            </w:r>
          </w:p>
        </w:tc>
      </w:tr>
      <w:tr>
        <w:tblPrEx>
          <w:tblCellMar>
            <w:top w:w="0" w:type="dxa"/>
            <w:left w:w="108" w:type="dxa"/>
            <w:bottom w:w="0" w:type="dxa"/>
            <w:right w:w="108" w:type="dxa"/>
          </w:tblCellMar>
        </w:tblPrEx>
        <w:trPr>
          <w:trHeight w:val="330" w:hRule="atLeast"/>
        </w:trPr>
        <w:tc>
          <w:tcPr>
            <w:tcW w:w="98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决策（17分）</w:t>
            </w:r>
          </w:p>
        </w:tc>
        <w:tc>
          <w:tcPr>
            <w:tcW w:w="702"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项目立项（6分）</w:t>
            </w: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立项依据充分性</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项目立项是否符合法律法规、相关政策、发展规划以及部门职责，用以反映和考核项目立项依据情况。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评价要点：</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依据充分</w:t>
            </w:r>
          </w:p>
        </w:tc>
        <w:tc>
          <w:tcPr>
            <w:tcW w:w="70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eastAsia="仿宋_GB2312"/>
              </w:rPr>
              <w:t>3</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每缺一项扣1分，扣完为止。</w:t>
            </w:r>
          </w:p>
        </w:tc>
        <w:tc>
          <w:tcPr>
            <w:tcW w:w="720"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等线" w:eastAsia="仿宋_GB2312" w:cs="宋体"/>
                <w:color w:val="000000"/>
                <w:kern w:val="0"/>
                <w:sz w:val="20"/>
                <w:szCs w:val="20"/>
              </w:rPr>
            </w:pPr>
            <w:r>
              <w:rPr>
                <w:rFonts w:hint="eastAsia" w:ascii="仿宋_GB2312" w:eastAsia="仿宋_GB2312"/>
              </w:rPr>
              <w:t>3</w:t>
            </w: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①项目立项是否符合国家法律法规、国民经济发展规划和相关政策；</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b/>
                <w:bCs/>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0"/>
                <w:szCs w:val="20"/>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②项目立项是否符合行业发展规划和政策要求；</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b/>
                <w:bCs/>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0"/>
                <w:szCs w:val="20"/>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③项目立项是否与部门职责范围相符，属于部门履职所需；</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b/>
                <w:bCs/>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0"/>
                <w:szCs w:val="20"/>
              </w:rPr>
            </w:pPr>
          </w:p>
        </w:tc>
      </w:tr>
      <w:tr>
        <w:tblPrEx>
          <w:tblCellMar>
            <w:top w:w="0" w:type="dxa"/>
            <w:left w:w="108" w:type="dxa"/>
            <w:bottom w:w="0" w:type="dxa"/>
            <w:right w:w="108" w:type="dxa"/>
          </w:tblCellMar>
        </w:tblPrEx>
        <w:trPr>
          <w:trHeight w:val="52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④项目是否属于公共财政支持范围，是否符合中央、地方事权支出责任划分原则；</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b/>
                <w:bCs/>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0"/>
                <w:szCs w:val="20"/>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⑤项目是否与相关部门同类项目或部门内部相关项目重复。</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b/>
                <w:bCs/>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0"/>
                <w:szCs w:val="20"/>
              </w:rPr>
            </w:pPr>
          </w:p>
        </w:tc>
      </w:tr>
      <w:tr>
        <w:tblPrEx>
          <w:tblCellMar>
            <w:top w:w="0" w:type="dxa"/>
            <w:left w:w="108" w:type="dxa"/>
            <w:bottom w:w="0" w:type="dxa"/>
            <w:right w:w="108" w:type="dxa"/>
          </w:tblCellMar>
        </w:tblPrEx>
        <w:trPr>
          <w:trHeight w:val="29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立项程序规范性</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项目申请、设立过程是否符合相关要求，用以反映和考核项目立项的规范情况。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评价要点：</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程序规范</w:t>
            </w:r>
          </w:p>
        </w:tc>
        <w:tc>
          <w:tcPr>
            <w:tcW w:w="70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3</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每缺一项扣1分，扣完为止。</w:t>
            </w:r>
          </w:p>
        </w:tc>
        <w:tc>
          <w:tcPr>
            <w:tcW w:w="720" w:type="dxa"/>
            <w:vMerge w:val="restart"/>
            <w:tcBorders>
              <w:top w:val="nil"/>
              <w:left w:val="single" w:color="auto" w:sz="8" w:space="0"/>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eastAsia="仿宋_GB2312"/>
              </w:rPr>
              <w:t>3</w:t>
            </w:r>
          </w:p>
        </w:tc>
      </w:tr>
      <w:tr>
        <w:tblPrEx>
          <w:tblCellMar>
            <w:top w:w="0" w:type="dxa"/>
            <w:left w:w="108" w:type="dxa"/>
            <w:bottom w:w="0" w:type="dxa"/>
            <w:right w:w="108" w:type="dxa"/>
          </w:tblCellMar>
        </w:tblPrEx>
        <w:trPr>
          <w:trHeight w:val="29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①项目是否按照规定的程序申请设立；</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29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②审批文件、材料是否符合相关要求；</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55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③事前是否已经过必要的可行性研究、专家论证、风险评估、绩效评估、集体决策。</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绩效目标（6分）</w:t>
            </w: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绩效目标合理性</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项目所设定的绩效目标是否依据充分，是否符合客观实际，用以反映和考核项目绩效目标与项目实施的相符情况。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评价要点：</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合理</w:t>
            </w:r>
          </w:p>
        </w:tc>
        <w:tc>
          <w:tcPr>
            <w:tcW w:w="709" w:type="dxa"/>
            <w:vMerge w:val="restart"/>
            <w:tcBorders>
              <w:top w:val="nil"/>
              <w:left w:val="single" w:color="auto" w:sz="8" w:space="0"/>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3</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每缺一项扣1分，扣完为止。</w:t>
            </w:r>
          </w:p>
        </w:tc>
        <w:tc>
          <w:tcPr>
            <w:tcW w:w="720" w:type="dxa"/>
            <w:vMerge w:val="restart"/>
            <w:tcBorders>
              <w:top w:val="nil"/>
              <w:left w:val="single" w:color="auto" w:sz="8" w:space="0"/>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ascii="仿宋_GB2312" w:eastAsia="仿宋_GB2312"/>
              </w:rPr>
              <w:t>2</w:t>
            </w: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（如未设定预算绩效目标，也可考核其他工作任务目标）</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①项目是否有绩效目标；</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②项目绩效目标与实际工作内容是否具有相关性；</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③项目预期产出效益和效果是否符合正常的业绩水平；</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④是否与预算确定的项目投资额或资金量相匹配。</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绩效指标明确性</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依据绩效目标设定的绩效指标是否清晰、细化、可衡量等，用以反映和考核项目绩效目标的明细化情况。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评价要点：</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明确</w:t>
            </w:r>
          </w:p>
        </w:tc>
        <w:tc>
          <w:tcPr>
            <w:tcW w:w="709" w:type="dxa"/>
            <w:vMerge w:val="restart"/>
            <w:tcBorders>
              <w:top w:val="nil"/>
              <w:left w:val="single" w:color="auto" w:sz="8" w:space="0"/>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3</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每缺一项扣1分，扣完为止。</w:t>
            </w:r>
          </w:p>
        </w:tc>
        <w:tc>
          <w:tcPr>
            <w:tcW w:w="720" w:type="dxa"/>
            <w:vMerge w:val="restart"/>
            <w:tcBorders>
              <w:top w:val="nil"/>
              <w:left w:val="single" w:color="auto" w:sz="8" w:space="0"/>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eastAsia="仿宋_GB2312"/>
              </w:rPr>
              <w:t>1</w:t>
            </w: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①是否将项目绩效目标细化分解为具体的绩效指标；</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②是否通过清晰、可衡量的指标值予以体现；</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③是否与项目目标任务数或计划数相对应。</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 w:val="20"/>
                <w:szCs w:val="20"/>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等线" w:eastAsia="仿宋_GB2312" w:cs="宋体"/>
                <w:color w:val="000000"/>
                <w:kern w:val="0"/>
                <w:sz w:val="22"/>
                <w:szCs w:val="22"/>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资金投入（5分）</w:t>
            </w: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预算编制科学性</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项目预算编制是否经过科学论证、有明确标准，资金额度与年度目标是否相适应，用以反映和考核项目预算编制的科学性、合理性情况。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评价要点：</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科学</w:t>
            </w:r>
          </w:p>
        </w:tc>
        <w:tc>
          <w:tcPr>
            <w:tcW w:w="70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3</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eastAsia="仿宋_GB2312"/>
              </w:rPr>
              <w:t>每缺一项扣1分，扣完为止。</w:t>
            </w:r>
          </w:p>
        </w:tc>
        <w:tc>
          <w:tcPr>
            <w:tcW w:w="720"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3</w:t>
            </w: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①预算编制是否经过科学论证；</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②预算内容与项目内容是否匹配；</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③预算额度测算依据是否充分，是否按照标准编制；</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④预算确定的项目投资额或资金量是否与工作任务相匹配。</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59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资金分配合理性</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项目预算资金分配是否有测算依据，与补助单位或地方实际是否相适应，用以反映和考核项目预算资金分配的科学性、合理性情况。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评价要点：</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合理</w:t>
            </w:r>
          </w:p>
        </w:tc>
        <w:tc>
          <w:tcPr>
            <w:tcW w:w="70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2</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eastAsia="仿宋_GB2312"/>
              </w:rPr>
              <w:t>每缺一项扣1分，扣完为止。</w:t>
            </w:r>
          </w:p>
          <w:p>
            <w:pPr>
              <w:widowControl/>
              <w:jc w:val="center"/>
              <w:rPr>
                <w:rFonts w:ascii="仿宋_GB2312" w:hAnsi="宋体" w:eastAsia="仿宋_GB2312" w:cs="宋体"/>
                <w:color w:val="000000"/>
                <w:kern w:val="0"/>
                <w:szCs w:val="21"/>
              </w:rPr>
            </w:pPr>
          </w:p>
        </w:tc>
        <w:tc>
          <w:tcPr>
            <w:tcW w:w="720"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2</w:t>
            </w:r>
          </w:p>
        </w:tc>
      </w:tr>
      <w:tr>
        <w:tblPrEx>
          <w:tblCellMar>
            <w:top w:w="0" w:type="dxa"/>
            <w:left w:w="108" w:type="dxa"/>
            <w:bottom w:w="0" w:type="dxa"/>
            <w:right w:w="108" w:type="dxa"/>
          </w:tblCellMar>
        </w:tblPrEx>
        <w:trPr>
          <w:trHeight w:val="59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①预算资金分配依据是否充分；</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59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②资金分配额度是否合理，与项目单位或地方实际是否相适应。</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30" w:hRule="atLeast"/>
        </w:trPr>
        <w:tc>
          <w:tcPr>
            <w:tcW w:w="98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过程（22分）</w:t>
            </w:r>
          </w:p>
        </w:tc>
        <w:tc>
          <w:tcPr>
            <w:tcW w:w="702"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资金管理（13分）</w:t>
            </w: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资金到位率</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实际到位资金与预算资金的比率，用以反映和考核资金落实情况对项目实施的总体保障程度。</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资金到位率=（实际到位资金/预算资金）×100%。</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100%</w:t>
            </w:r>
          </w:p>
        </w:tc>
        <w:tc>
          <w:tcPr>
            <w:tcW w:w="70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3</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eastAsia="仿宋_GB2312"/>
              </w:rPr>
              <w:t>得分=资金到位率*3</w:t>
            </w:r>
          </w:p>
        </w:tc>
        <w:tc>
          <w:tcPr>
            <w:tcW w:w="720"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3</w:t>
            </w:r>
          </w:p>
        </w:tc>
      </w:tr>
      <w:tr>
        <w:tblPrEx>
          <w:tblCellMar>
            <w:top w:w="0" w:type="dxa"/>
            <w:left w:w="108" w:type="dxa"/>
            <w:bottom w:w="0" w:type="dxa"/>
            <w:right w:w="108" w:type="dxa"/>
          </w:tblCellMar>
        </w:tblPrEx>
        <w:trPr>
          <w:trHeight w:val="61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实际到位资金：一定时期（本年度或项目期）内落实到具体项目的资金。</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61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预算资金：一定时期（本年度或项目期）内预算安排到具体项目的资金。</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7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预算执行率</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项目预算资金是否按照计划执行，用以反映或考核项目预算执行情况。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预算执行率=（实际支出资金/实际到位资金）×100%。</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100%</w:t>
            </w:r>
          </w:p>
        </w:tc>
        <w:tc>
          <w:tcPr>
            <w:tcW w:w="70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3</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eastAsia="仿宋_GB2312"/>
              </w:rPr>
              <w:t>得分=预算执行率*3</w:t>
            </w:r>
          </w:p>
        </w:tc>
        <w:tc>
          <w:tcPr>
            <w:tcW w:w="720"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color w:val="000000"/>
              </w:rPr>
              <w:t>2</w:t>
            </w:r>
            <w:r>
              <w:rPr>
                <w:rFonts w:ascii="仿宋_GB2312" w:eastAsia="仿宋_GB2312"/>
                <w:color w:val="000000"/>
              </w:rPr>
              <w:t>.28</w:t>
            </w:r>
          </w:p>
        </w:tc>
      </w:tr>
      <w:tr>
        <w:tblPrEx>
          <w:tblCellMar>
            <w:top w:w="0" w:type="dxa"/>
            <w:left w:w="108" w:type="dxa"/>
            <w:bottom w:w="0" w:type="dxa"/>
            <w:right w:w="108" w:type="dxa"/>
          </w:tblCellMar>
        </w:tblPrEx>
        <w:trPr>
          <w:trHeight w:val="47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实际支出资金：一定时期（本年度或项目期）内项目实际拨付的资金。</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4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资金使用合规性</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项目资金使用是否符合相关的财务管理制度规定，用以反映和考核项目资金的规范运行情况。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评价要点：</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合规</w:t>
            </w:r>
          </w:p>
        </w:tc>
        <w:tc>
          <w:tcPr>
            <w:tcW w:w="70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7</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eastAsia="仿宋_GB2312"/>
              </w:rPr>
              <w:t>①、②、③项各1.5分，④2.5分</w:t>
            </w:r>
          </w:p>
        </w:tc>
        <w:tc>
          <w:tcPr>
            <w:tcW w:w="720"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ascii="仿宋_GB2312" w:eastAsia="仿宋_GB2312"/>
              </w:rPr>
              <w:t>5</w:t>
            </w:r>
            <w:r>
              <w:rPr>
                <w:rFonts w:hint="eastAsia" w:ascii="仿宋_GB2312" w:eastAsia="仿宋_GB2312"/>
              </w:rPr>
              <w:t>.5</w:t>
            </w:r>
          </w:p>
        </w:tc>
      </w:tr>
      <w:tr>
        <w:tblPrEx>
          <w:tblCellMar>
            <w:top w:w="0" w:type="dxa"/>
            <w:left w:w="108" w:type="dxa"/>
            <w:bottom w:w="0" w:type="dxa"/>
            <w:right w:w="108" w:type="dxa"/>
          </w:tblCellMar>
        </w:tblPrEx>
        <w:trPr>
          <w:trHeight w:val="609"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①是否符合国家财经法规和财务管理制度以及有关专项资金管理办法的规定；</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91"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②资金的拨付是否有完整的审批程序和手续；</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28"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③是否符合项目预算批复或合同规定的用途；</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36"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④是否存在截留、挤占、挪用、虚列支出等情况。</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7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组织实施（9分）</w:t>
            </w: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管理制度健全性</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项目实施单位的财务和业务管理制度是否健全，用以反映和考核财务和业务管理制度对项目顺利实施的保障情况。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评价要点：</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健全</w:t>
            </w:r>
          </w:p>
        </w:tc>
        <w:tc>
          <w:tcPr>
            <w:tcW w:w="70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2</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eastAsia="仿宋_GB2312"/>
              </w:rPr>
              <w:t>每缺一项扣1分，扣完为止。</w:t>
            </w:r>
          </w:p>
        </w:tc>
        <w:tc>
          <w:tcPr>
            <w:tcW w:w="720"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2</w:t>
            </w:r>
          </w:p>
        </w:tc>
      </w:tr>
      <w:tr>
        <w:tblPrEx>
          <w:tblCellMar>
            <w:top w:w="0" w:type="dxa"/>
            <w:left w:w="108" w:type="dxa"/>
            <w:bottom w:w="0" w:type="dxa"/>
            <w:right w:w="108" w:type="dxa"/>
          </w:tblCellMar>
        </w:tblPrEx>
        <w:trPr>
          <w:trHeight w:val="47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①是否已制定或具有相应的财务和业务管理制度；</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7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②财务和业务管理制度是否合法、合规、完整。</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2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组织实施</w:t>
            </w:r>
          </w:p>
        </w:tc>
        <w:tc>
          <w:tcPr>
            <w:tcW w:w="1075"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制度执行有效性</w:t>
            </w:r>
          </w:p>
        </w:tc>
        <w:tc>
          <w:tcPr>
            <w:tcW w:w="2327" w:type="dxa"/>
            <w:vMerge w:val="restart"/>
            <w:tcBorders>
              <w:top w:val="nil"/>
              <w:left w:val="single" w:color="auto" w:sz="8" w:space="0"/>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项目实施是否符合相关管理规定，用以反映和考核相关管理制度的有效执行情况。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评价要点：</w:t>
            </w:r>
          </w:p>
        </w:tc>
        <w:tc>
          <w:tcPr>
            <w:tcW w:w="708"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有效</w:t>
            </w:r>
          </w:p>
        </w:tc>
        <w:tc>
          <w:tcPr>
            <w:tcW w:w="70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7</w:t>
            </w:r>
          </w:p>
        </w:tc>
        <w:tc>
          <w:tcPr>
            <w:tcW w:w="1559"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eastAsia="仿宋_GB2312"/>
              </w:rPr>
              <w:t>①、②、③项各2分，④1分</w:t>
            </w:r>
          </w:p>
        </w:tc>
        <w:tc>
          <w:tcPr>
            <w:tcW w:w="720"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3</w:t>
            </w:r>
          </w:p>
        </w:tc>
      </w:tr>
      <w:tr>
        <w:tblPrEx>
          <w:tblCellMar>
            <w:top w:w="0" w:type="dxa"/>
            <w:left w:w="108" w:type="dxa"/>
            <w:bottom w:w="0" w:type="dxa"/>
            <w:right w:w="108" w:type="dxa"/>
          </w:tblCellMar>
        </w:tblPrEx>
        <w:trPr>
          <w:trHeight w:val="42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①是否遵守相关法律法规和相关管理规定；</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2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②项目调整及支出调整手续是否完备；</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2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③项目合同书、验收报告、技术鉴定等资料是否齐全并及时归档；</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2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2327"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④项目实施的人员条件、场地设备、信息支撑等是否落实到位。</w:t>
            </w:r>
          </w:p>
        </w:tc>
        <w:tc>
          <w:tcPr>
            <w:tcW w:w="708"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55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20"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550" w:hRule="atLeast"/>
        </w:trPr>
        <w:tc>
          <w:tcPr>
            <w:tcW w:w="98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产出（37分）</w:t>
            </w:r>
          </w:p>
        </w:tc>
        <w:tc>
          <w:tcPr>
            <w:tcW w:w="702" w:type="dxa"/>
            <w:vMerge w:val="restart"/>
            <w:tcBorders>
              <w:top w:val="nil"/>
              <w:left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产出数量（16分）</w:t>
            </w:r>
          </w:p>
        </w:tc>
        <w:tc>
          <w:tcPr>
            <w:tcW w:w="1075" w:type="dxa"/>
            <w:tcBorders>
              <w:top w:val="nil"/>
              <w:left w:val="nil"/>
              <w:bottom w:val="single" w:color="auto" w:sz="8" w:space="0"/>
              <w:right w:val="single" w:color="auto" w:sz="8" w:space="0"/>
            </w:tcBorders>
            <w:shd w:val="clear" w:color="000000" w:fill="FFFFFF"/>
          </w:tcPr>
          <w:p>
            <w:pPr>
              <w:widowControl/>
              <w:jc w:val="center"/>
              <w:rPr>
                <w:rFonts w:ascii="仿宋_GB2312" w:hAnsi="宋体" w:eastAsia="仿宋_GB2312" w:cs="宋体"/>
                <w:color w:val="000000"/>
                <w:kern w:val="0"/>
                <w:szCs w:val="21"/>
              </w:rPr>
            </w:pPr>
            <w:r>
              <w:rPr>
                <w:rFonts w:hint="eastAsia" w:ascii="仿宋_GB2312" w:eastAsia="仿宋_GB2312"/>
              </w:rPr>
              <w:t>机动车道改造</w:t>
            </w:r>
          </w:p>
        </w:tc>
        <w:tc>
          <w:tcPr>
            <w:tcW w:w="2327" w:type="dxa"/>
            <w:vMerge w:val="restart"/>
            <w:tcBorders>
              <w:top w:val="nil"/>
              <w:left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项目实施的实际产出数与计划产出数的比率，用以反映和考核项目产出数量目标的实现程度。</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eastAsia="仿宋_GB2312"/>
              </w:rPr>
              <w:t>机动车道改造完成率=（实际产出数/计划产出数）×100%；</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100%</w:t>
            </w:r>
          </w:p>
        </w:tc>
        <w:tc>
          <w:tcPr>
            <w:tcW w:w="70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3</w:t>
            </w:r>
          </w:p>
        </w:tc>
        <w:tc>
          <w:tcPr>
            <w:tcW w:w="155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得分=完成率*3</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eastAsia="仿宋_GB2312"/>
              </w:rPr>
              <w:t>2.45</w:t>
            </w:r>
          </w:p>
        </w:tc>
      </w:tr>
      <w:tr>
        <w:tblPrEx>
          <w:tblCellMar>
            <w:top w:w="0" w:type="dxa"/>
            <w:left w:w="108" w:type="dxa"/>
            <w:bottom w:w="0" w:type="dxa"/>
            <w:right w:w="108" w:type="dxa"/>
          </w:tblCellMar>
        </w:tblPrEx>
        <w:trPr>
          <w:trHeight w:val="55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tcBorders>
              <w:top w:val="nil"/>
              <w:left w:val="nil"/>
              <w:bottom w:val="single" w:color="auto" w:sz="8" w:space="0"/>
              <w:right w:val="single" w:color="auto" w:sz="8" w:space="0"/>
            </w:tcBorders>
            <w:shd w:val="clear" w:color="000000" w:fill="FFFFFF"/>
          </w:tcPr>
          <w:p>
            <w:pPr>
              <w:widowControl/>
              <w:jc w:val="center"/>
              <w:rPr>
                <w:rFonts w:ascii="仿宋_GB2312" w:hAnsi="宋体" w:eastAsia="仿宋_GB2312" w:cs="宋体"/>
                <w:color w:val="000000"/>
                <w:kern w:val="0"/>
                <w:szCs w:val="21"/>
              </w:rPr>
            </w:pPr>
            <w:r>
              <w:rPr>
                <w:rFonts w:hint="eastAsia" w:ascii="仿宋_GB2312" w:eastAsia="仿宋_GB2312"/>
              </w:rPr>
              <w:t>人行步道改造</w:t>
            </w:r>
          </w:p>
        </w:tc>
        <w:tc>
          <w:tcPr>
            <w:tcW w:w="2327"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eastAsia="仿宋_GB2312"/>
              </w:rPr>
              <w:t>人行道改造完成率=（实际产出数/计划产出数）×100%；</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100%</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3</w:t>
            </w:r>
          </w:p>
        </w:tc>
        <w:tc>
          <w:tcPr>
            <w:tcW w:w="155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得分=完成率*3</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eastAsia="仿宋_GB2312"/>
              </w:rPr>
              <w:t>2.2</w:t>
            </w:r>
          </w:p>
        </w:tc>
      </w:tr>
      <w:tr>
        <w:tblPrEx>
          <w:tblCellMar>
            <w:top w:w="0" w:type="dxa"/>
            <w:left w:w="108" w:type="dxa"/>
            <w:bottom w:w="0" w:type="dxa"/>
            <w:right w:w="108" w:type="dxa"/>
          </w:tblCellMar>
        </w:tblPrEx>
        <w:trPr>
          <w:trHeight w:val="55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tcBorders>
              <w:top w:val="nil"/>
              <w:left w:val="nil"/>
              <w:bottom w:val="single" w:color="auto" w:sz="8" w:space="0"/>
              <w:right w:val="single" w:color="auto" w:sz="8" w:space="0"/>
            </w:tcBorders>
            <w:shd w:val="clear" w:color="000000" w:fill="FFFFFF"/>
          </w:tcPr>
          <w:p>
            <w:pPr>
              <w:widowControl/>
              <w:jc w:val="center"/>
              <w:rPr>
                <w:rFonts w:ascii="仿宋_GB2312" w:hAnsi="宋体" w:eastAsia="仿宋_GB2312" w:cs="宋体"/>
                <w:color w:val="000000"/>
                <w:kern w:val="0"/>
                <w:szCs w:val="21"/>
              </w:rPr>
            </w:pPr>
            <w:r>
              <w:rPr>
                <w:rFonts w:hint="eastAsia" w:ascii="仿宋_GB2312" w:eastAsia="仿宋_GB2312"/>
              </w:rPr>
              <w:t>雨水管道改造</w:t>
            </w:r>
          </w:p>
        </w:tc>
        <w:tc>
          <w:tcPr>
            <w:tcW w:w="2327"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eastAsia="仿宋_GB2312"/>
              </w:rPr>
              <w:t>雨水管道改造完成率=（实际产出数/计划产出数）×100%；</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100%</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ascii="仿宋_GB2312" w:eastAsia="仿宋_GB2312"/>
              </w:rPr>
              <w:t>2</w:t>
            </w:r>
          </w:p>
        </w:tc>
        <w:tc>
          <w:tcPr>
            <w:tcW w:w="155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得分=完成率*</w:t>
            </w:r>
            <w:r>
              <w:rPr>
                <w:rFonts w:ascii="仿宋_GB2312" w:eastAsia="仿宋_GB2312"/>
              </w:rPr>
              <w:t>2</w:t>
            </w:r>
          </w:p>
        </w:tc>
        <w:tc>
          <w:tcPr>
            <w:tcW w:w="720" w:type="dxa"/>
            <w:tcBorders>
              <w:top w:val="nil"/>
              <w:left w:val="nil"/>
              <w:bottom w:val="single" w:color="auto" w:sz="8" w:space="0"/>
              <w:right w:val="single" w:color="auto" w:sz="8" w:space="0"/>
            </w:tcBorders>
            <w:shd w:val="clear" w:color="auto" w:fill="auto"/>
            <w:noWrap/>
          </w:tcPr>
          <w:p>
            <w:pPr>
              <w:widowControl/>
              <w:jc w:val="center"/>
              <w:rPr>
                <w:rFonts w:ascii="仿宋_GB2312" w:eastAsia="仿宋_GB2312"/>
              </w:rPr>
            </w:pPr>
            <w:r>
              <w:rPr>
                <w:rFonts w:ascii="仿宋_GB2312" w:eastAsia="仿宋_GB2312"/>
              </w:rPr>
              <w:t>1.56</w:t>
            </w:r>
          </w:p>
        </w:tc>
      </w:tr>
      <w:tr>
        <w:tblPrEx>
          <w:tblCellMar>
            <w:top w:w="0" w:type="dxa"/>
            <w:left w:w="108" w:type="dxa"/>
            <w:bottom w:w="0" w:type="dxa"/>
            <w:right w:w="108" w:type="dxa"/>
          </w:tblCellMar>
        </w:tblPrEx>
        <w:trPr>
          <w:trHeight w:val="542"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tcBorders>
              <w:top w:val="nil"/>
              <w:left w:val="nil"/>
              <w:bottom w:val="single" w:color="auto" w:sz="8" w:space="0"/>
              <w:right w:val="single" w:color="auto" w:sz="8" w:space="0"/>
            </w:tcBorders>
            <w:shd w:val="clear" w:color="000000" w:fill="FFFFFF"/>
          </w:tcPr>
          <w:p>
            <w:pPr>
              <w:widowControl/>
              <w:jc w:val="center"/>
              <w:rPr>
                <w:rFonts w:ascii="仿宋_GB2312" w:hAnsi="宋体" w:eastAsia="仿宋_GB2312" w:cs="宋体"/>
                <w:color w:val="000000"/>
                <w:kern w:val="0"/>
                <w:szCs w:val="21"/>
              </w:rPr>
            </w:pPr>
            <w:r>
              <w:rPr>
                <w:rFonts w:hint="eastAsia" w:ascii="仿宋_GB2312" w:eastAsia="仿宋_GB2312"/>
              </w:rPr>
              <w:t>污水管道改造</w:t>
            </w:r>
          </w:p>
        </w:tc>
        <w:tc>
          <w:tcPr>
            <w:tcW w:w="2327"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eastAsia="仿宋_GB2312"/>
              </w:rPr>
              <w:t>污水管道改造完成率=（实际产出数/计划产出数）×100%；</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100%</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ascii="仿宋_GB2312" w:eastAsia="仿宋_GB2312"/>
              </w:rPr>
              <w:t>2</w:t>
            </w:r>
          </w:p>
        </w:tc>
        <w:tc>
          <w:tcPr>
            <w:tcW w:w="155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得分=完成率*</w:t>
            </w:r>
            <w:r>
              <w:rPr>
                <w:rFonts w:ascii="仿宋_GB2312" w:eastAsia="仿宋_GB2312"/>
              </w:rPr>
              <w:t>2</w:t>
            </w:r>
          </w:p>
        </w:tc>
        <w:tc>
          <w:tcPr>
            <w:tcW w:w="720" w:type="dxa"/>
            <w:tcBorders>
              <w:top w:val="nil"/>
              <w:left w:val="nil"/>
              <w:bottom w:val="single" w:color="auto" w:sz="8" w:space="0"/>
              <w:right w:val="single" w:color="auto" w:sz="8" w:space="0"/>
            </w:tcBorders>
            <w:shd w:val="clear" w:color="auto" w:fill="auto"/>
            <w:noWrap/>
          </w:tcPr>
          <w:p>
            <w:pPr>
              <w:widowControl/>
              <w:jc w:val="center"/>
              <w:rPr>
                <w:rFonts w:ascii="仿宋_GB2312" w:eastAsia="仿宋_GB2312"/>
              </w:rPr>
            </w:pPr>
            <w:r>
              <w:rPr>
                <w:rFonts w:ascii="仿宋_GB2312" w:eastAsia="仿宋_GB2312"/>
              </w:rPr>
              <w:t>1.68</w:t>
            </w:r>
          </w:p>
        </w:tc>
      </w:tr>
      <w:tr>
        <w:tblPrEx>
          <w:tblCellMar>
            <w:top w:w="0" w:type="dxa"/>
            <w:left w:w="108" w:type="dxa"/>
            <w:bottom w:w="0" w:type="dxa"/>
            <w:right w:w="108" w:type="dxa"/>
          </w:tblCellMar>
        </w:tblPrEx>
        <w:trPr>
          <w:trHeight w:val="55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tcBorders>
              <w:top w:val="nil"/>
              <w:left w:val="nil"/>
              <w:bottom w:val="single" w:color="auto" w:sz="8" w:space="0"/>
              <w:right w:val="single" w:color="auto" w:sz="8" w:space="0"/>
            </w:tcBorders>
            <w:shd w:val="clear" w:color="000000" w:fill="FFFFFF"/>
          </w:tcPr>
          <w:p>
            <w:pPr>
              <w:widowControl/>
              <w:jc w:val="center"/>
              <w:rPr>
                <w:rFonts w:ascii="仿宋_GB2312" w:hAnsi="宋体" w:eastAsia="仿宋_GB2312" w:cs="宋体"/>
                <w:color w:val="000000"/>
                <w:kern w:val="0"/>
                <w:szCs w:val="21"/>
              </w:rPr>
            </w:pPr>
            <w:r>
              <w:rPr>
                <w:rFonts w:hint="eastAsia" w:ascii="仿宋_GB2312" w:eastAsia="仿宋_GB2312"/>
              </w:rPr>
              <w:t>电力管道改造</w:t>
            </w:r>
          </w:p>
        </w:tc>
        <w:tc>
          <w:tcPr>
            <w:tcW w:w="2327"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eastAsia="仿宋_GB2312"/>
              </w:rPr>
              <w:t>电力管道改造完成率=（实际产出数/计划产出数）×100%；</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100%</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2</w:t>
            </w:r>
          </w:p>
        </w:tc>
        <w:tc>
          <w:tcPr>
            <w:tcW w:w="155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得分=完成率*2</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eastAsia="仿宋_GB2312"/>
              </w:rPr>
              <w:t>1.84</w:t>
            </w:r>
          </w:p>
        </w:tc>
      </w:tr>
      <w:tr>
        <w:tblPrEx>
          <w:tblCellMar>
            <w:top w:w="0" w:type="dxa"/>
            <w:left w:w="108" w:type="dxa"/>
            <w:bottom w:w="0" w:type="dxa"/>
            <w:right w:w="108" w:type="dxa"/>
          </w:tblCellMar>
        </w:tblPrEx>
        <w:trPr>
          <w:trHeight w:val="55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tcBorders>
              <w:top w:val="nil"/>
              <w:left w:val="nil"/>
              <w:bottom w:val="single" w:color="auto" w:sz="8" w:space="0"/>
              <w:right w:val="single" w:color="auto" w:sz="8" w:space="0"/>
            </w:tcBorders>
            <w:shd w:val="clear" w:color="000000" w:fill="FFFFFF"/>
          </w:tcPr>
          <w:p>
            <w:pPr>
              <w:widowControl/>
              <w:jc w:val="center"/>
              <w:rPr>
                <w:rFonts w:ascii="仿宋_GB2312" w:hAnsi="宋体" w:eastAsia="仿宋_GB2312" w:cs="宋体"/>
                <w:color w:val="000000"/>
                <w:kern w:val="0"/>
                <w:szCs w:val="21"/>
              </w:rPr>
            </w:pPr>
            <w:r>
              <w:rPr>
                <w:rFonts w:hint="eastAsia" w:ascii="仿宋_GB2312" w:eastAsia="仿宋_GB2312"/>
              </w:rPr>
              <w:t>停车场建设</w:t>
            </w:r>
          </w:p>
        </w:tc>
        <w:tc>
          <w:tcPr>
            <w:tcW w:w="2327" w:type="dxa"/>
            <w:vMerge w:val="continue"/>
            <w:tcBorders>
              <w:left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eastAsia="仿宋_GB2312"/>
              </w:rPr>
              <w:t>停车场改造完成率=（实际产出数/计划产出数）×100%；</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100%</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2</w:t>
            </w:r>
          </w:p>
        </w:tc>
        <w:tc>
          <w:tcPr>
            <w:tcW w:w="155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得分=完成率*2</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eastAsia="仿宋_GB2312"/>
              </w:rPr>
              <w:t>1.56</w:t>
            </w:r>
          </w:p>
        </w:tc>
      </w:tr>
      <w:tr>
        <w:tblPrEx>
          <w:tblCellMar>
            <w:top w:w="0" w:type="dxa"/>
            <w:left w:w="108" w:type="dxa"/>
            <w:bottom w:w="0" w:type="dxa"/>
            <w:right w:w="108" w:type="dxa"/>
          </w:tblCellMar>
        </w:tblPrEx>
        <w:trPr>
          <w:trHeight w:val="55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tcBorders>
              <w:top w:val="nil"/>
              <w:left w:val="nil"/>
              <w:bottom w:val="single" w:color="auto" w:sz="8" w:space="0"/>
              <w:right w:val="single" w:color="auto" w:sz="8" w:space="0"/>
            </w:tcBorders>
            <w:shd w:val="clear" w:color="000000" w:fill="FFFFFF"/>
          </w:tcPr>
          <w:p>
            <w:pPr>
              <w:widowControl/>
              <w:jc w:val="center"/>
              <w:rPr>
                <w:rFonts w:ascii="仿宋_GB2312" w:eastAsia="仿宋_GB2312"/>
              </w:rPr>
            </w:pPr>
            <w:r>
              <w:rPr>
                <w:rFonts w:hint="eastAsia" w:ascii="仿宋_GB2312" w:eastAsia="仿宋_GB2312"/>
              </w:rPr>
              <w:t>公租房补贴户（人）数</w:t>
            </w:r>
          </w:p>
        </w:tc>
        <w:tc>
          <w:tcPr>
            <w:tcW w:w="2327" w:type="dxa"/>
            <w:vMerge w:val="continue"/>
            <w:tcBorders>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eastAsia="仿宋_GB2312"/>
              </w:rPr>
            </w:pPr>
            <w:r>
              <w:rPr>
                <w:rFonts w:hint="eastAsia" w:ascii="仿宋_GB2312" w:eastAsia="仿宋_GB2312"/>
              </w:rPr>
              <w:t>补贴发放完成率=（实际产出数/计划产出数）×100%；</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eastAsia="仿宋_GB2312"/>
              </w:rPr>
            </w:pPr>
            <w:r>
              <w:rPr>
                <w:rFonts w:hint="eastAsia" w:ascii="仿宋_GB2312" w:eastAsia="仿宋_GB2312"/>
              </w:rPr>
              <w:t>100%</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eastAsia="仿宋_GB2312"/>
              </w:rPr>
            </w:pPr>
            <w:r>
              <w:rPr>
                <w:rFonts w:hint="eastAsia" w:ascii="仿宋_GB2312" w:eastAsia="仿宋_GB2312"/>
              </w:rPr>
              <w:t>2</w:t>
            </w:r>
          </w:p>
        </w:tc>
        <w:tc>
          <w:tcPr>
            <w:tcW w:w="155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eastAsia="仿宋_GB2312"/>
              </w:rPr>
            </w:pPr>
            <w:r>
              <w:rPr>
                <w:rFonts w:hint="eastAsia" w:ascii="仿宋_GB2312" w:eastAsia="仿宋_GB2312"/>
              </w:rPr>
              <w:t>得分=完成率*2</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eastAsia="仿宋_GB2312"/>
              </w:rPr>
            </w:pPr>
            <w:r>
              <w:rPr>
                <w:rFonts w:hint="eastAsia" w:ascii="仿宋_GB2312" w:eastAsia="仿宋_GB2312"/>
              </w:rPr>
              <w:t>2</w:t>
            </w:r>
          </w:p>
        </w:tc>
      </w:tr>
      <w:tr>
        <w:tblPrEx>
          <w:tblCellMar>
            <w:top w:w="0" w:type="dxa"/>
            <w:left w:w="108" w:type="dxa"/>
            <w:bottom w:w="0" w:type="dxa"/>
            <w:right w:w="108" w:type="dxa"/>
          </w:tblCellMar>
        </w:tblPrEx>
        <w:trPr>
          <w:trHeight w:val="264"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产出质量（9分）</w:t>
            </w:r>
          </w:p>
        </w:tc>
        <w:tc>
          <w:tcPr>
            <w:tcW w:w="1075" w:type="dxa"/>
            <w:tcBorders>
              <w:top w:val="nil"/>
              <w:left w:val="nil"/>
              <w:bottom w:val="single" w:color="auto" w:sz="8" w:space="0"/>
              <w:right w:val="single" w:color="auto" w:sz="8"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验收合格率</w:t>
            </w:r>
          </w:p>
        </w:tc>
        <w:tc>
          <w:tcPr>
            <w:tcW w:w="2327" w:type="dxa"/>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项目完成的质量达标产出数与实际产出数的比率，用以反映和考核项目产出质量目标的实现程度。</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eastAsia="仿宋_GB2312"/>
              </w:rPr>
              <w:t>质量合格率=（质量达标产出数/实际产出数）×100%。</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100%</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9</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按机动车道、人行步道、雨水管道、污水管道、电力管道、停车场建设等分别统计，再综合计算验收合格率。得分=质量合格率*9</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eastAsia="仿宋_GB2312"/>
              </w:rPr>
              <w:t>7.2</w:t>
            </w:r>
          </w:p>
        </w:tc>
      </w:tr>
      <w:tr>
        <w:tblPrEx>
          <w:tblCellMar>
            <w:top w:w="0" w:type="dxa"/>
            <w:left w:w="108" w:type="dxa"/>
            <w:bottom w:w="0" w:type="dxa"/>
            <w:right w:w="108" w:type="dxa"/>
          </w:tblCellMar>
        </w:tblPrEx>
        <w:trPr>
          <w:trHeight w:val="83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restart"/>
            <w:tcBorders>
              <w:top w:val="nil"/>
              <w:left w:val="nil"/>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产出时效（6分）</w:t>
            </w:r>
          </w:p>
        </w:tc>
        <w:tc>
          <w:tcPr>
            <w:tcW w:w="1075"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合同期内完成改造</w:t>
            </w:r>
          </w:p>
        </w:tc>
        <w:tc>
          <w:tcPr>
            <w:tcW w:w="2327" w:type="dxa"/>
            <w:vMerge w:val="restart"/>
            <w:tcBorders>
              <w:top w:val="nil"/>
              <w:left w:val="nil"/>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项目实际完成时间与计划完成时间的比较，用以反映和考核项目产出时效目标的实现程度。</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eastAsia="仿宋_GB2312"/>
              </w:rPr>
              <w:t>在合同时间内完成改造、并及时进行验收。</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按时完成</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ascii="仿宋_GB2312" w:eastAsia="仿宋_GB2312"/>
              </w:rPr>
              <w:t>3</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得分=按时完工合同个数/合同总个数*</w:t>
            </w:r>
            <w:r>
              <w:rPr>
                <w:rFonts w:ascii="仿宋_GB2312" w:eastAsia="仿宋_GB2312"/>
              </w:rPr>
              <w:t>3</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eastAsia="仿宋_GB2312"/>
                <w:color w:val="000000"/>
              </w:rPr>
              <w:t>2.25</w:t>
            </w:r>
          </w:p>
        </w:tc>
      </w:tr>
      <w:tr>
        <w:tblPrEx>
          <w:tblCellMar>
            <w:top w:w="0" w:type="dxa"/>
            <w:left w:w="108" w:type="dxa"/>
            <w:bottom w:w="0" w:type="dxa"/>
            <w:right w:w="108" w:type="dxa"/>
          </w:tblCellMar>
        </w:tblPrEx>
        <w:trPr>
          <w:trHeight w:val="862"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p>
        </w:tc>
        <w:tc>
          <w:tcPr>
            <w:tcW w:w="1075"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公租房补贴发放及时率</w:t>
            </w:r>
          </w:p>
        </w:tc>
        <w:tc>
          <w:tcPr>
            <w:tcW w:w="2327" w:type="dxa"/>
            <w:vMerge w:val="continue"/>
            <w:tcBorders>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eastAsia="仿宋_GB2312"/>
              </w:rPr>
            </w:pPr>
            <w:r>
              <w:rPr>
                <w:rFonts w:hint="eastAsia" w:ascii="仿宋_GB2312" w:eastAsia="仿宋_GB2312"/>
              </w:rPr>
              <w:t>按时发放补贴</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eastAsia="仿宋_GB2312"/>
              </w:rPr>
            </w:pPr>
            <w:r>
              <w:rPr>
                <w:rFonts w:hint="eastAsia" w:ascii="仿宋_GB2312" w:eastAsia="仿宋_GB2312"/>
              </w:rPr>
              <w:t>按时发放</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eastAsia="仿宋_GB2312"/>
              </w:rPr>
            </w:pPr>
            <w:r>
              <w:rPr>
                <w:rFonts w:hint="eastAsia" w:ascii="仿宋_GB2312" w:eastAsia="仿宋_GB2312"/>
              </w:rPr>
              <w:t>3</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ascii="仿宋_GB2312" w:eastAsia="仿宋_GB2312"/>
              </w:rPr>
            </w:pPr>
            <w:r>
              <w:rPr>
                <w:rFonts w:hint="eastAsia" w:ascii="仿宋_GB2312" w:eastAsia="仿宋_GB2312"/>
              </w:rPr>
              <w:t>每季度按时发放得3分</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eastAsia="仿宋_GB2312"/>
              </w:rPr>
            </w:pPr>
            <w:r>
              <w:rPr>
                <w:rFonts w:hint="eastAsia" w:ascii="仿宋_GB2312" w:eastAsia="仿宋_GB2312"/>
              </w:rPr>
              <w:t>3</w:t>
            </w:r>
          </w:p>
        </w:tc>
      </w:tr>
      <w:tr>
        <w:tblPrEx>
          <w:tblCellMar>
            <w:top w:w="0" w:type="dxa"/>
            <w:left w:w="108" w:type="dxa"/>
            <w:bottom w:w="0" w:type="dxa"/>
            <w:right w:w="108" w:type="dxa"/>
          </w:tblCellMar>
        </w:tblPrEx>
        <w:trPr>
          <w:trHeight w:val="2431"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产出成本（6分）</w:t>
            </w:r>
          </w:p>
        </w:tc>
        <w:tc>
          <w:tcPr>
            <w:tcW w:w="1075"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成本节约率</w:t>
            </w:r>
          </w:p>
        </w:tc>
        <w:tc>
          <w:tcPr>
            <w:tcW w:w="2327"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完成项目计划工作目标的实际节约成本与计划成本的比率，用以反映和考核项目的成本节约程度。</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eastAsia="仿宋_GB2312"/>
              </w:rPr>
              <w:t>项目成本节约率=[（计划成本-实际成本）/计划成本]×100%。</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eastAsia="仿宋_GB2312"/>
              </w:rPr>
              <w:t>≥0</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6</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_GB2312" w:eastAsia="仿宋_GB2312"/>
              </w:rPr>
              <w:t>成本节约率≥0得6分，＜0按比率扣分，每差1%，扣0.2分。如无竣工决算审计报告，按50%给分。</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eastAsia="仿宋_GB2312"/>
              </w:rPr>
              <w:t>3</w:t>
            </w:r>
          </w:p>
        </w:tc>
      </w:tr>
      <w:tr>
        <w:tblPrEx>
          <w:tblCellMar>
            <w:top w:w="0" w:type="dxa"/>
            <w:left w:w="108" w:type="dxa"/>
            <w:bottom w:w="0" w:type="dxa"/>
            <w:right w:w="108" w:type="dxa"/>
          </w:tblCellMar>
        </w:tblPrEx>
        <w:trPr>
          <w:trHeight w:val="570" w:hRule="atLeast"/>
        </w:trPr>
        <w:tc>
          <w:tcPr>
            <w:tcW w:w="989"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效果　（24分）</w:t>
            </w:r>
          </w:p>
        </w:tc>
        <w:tc>
          <w:tcPr>
            <w:tcW w:w="702"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项目效果　</w:t>
            </w:r>
          </w:p>
        </w:tc>
        <w:tc>
          <w:tcPr>
            <w:tcW w:w="1075"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tc>
        <w:tc>
          <w:tcPr>
            <w:tcW w:w="2327"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对群众居住环境和生活条件的改善情况，困难家庭住房问题解决情况</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改善老旧小区居住环境，提升居民生活质量；解决困难家庭住房难</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有效提升</w:t>
            </w:r>
          </w:p>
        </w:tc>
        <w:tc>
          <w:tcPr>
            <w:tcW w:w="70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根据调查情况酌情给分。</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hAnsi="等线" w:eastAsia="仿宋_GB2312" w:cs="宋体"/>
                <w:color w:val="000000"/>
                <w:kern w:val="0"/>
                <w:sz w:val="22"/>
                <w:szCs w:val="22"/>
              </w:rPr>
              <w:t>6</w:t>
            </w:r>
          </w:p>
        </w:tc>
      </w:tr>
      <w:tr>
        <w:tblPrEx>
          <w:tblCellMar>
            <w:top w:w="0" w:type="dxa"/>
            <w:left w:w="108" w:type="dxa"/>
            <w:bottom w:w="0" w:type="dxa"/>
            <w:right w:w="108" w:type="dxa"/>
          </w:tblCellMar>
        </w:tblPrEx>
        <w:trPr>
          <w:trHeight w:val="570"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w:t>
            </w:r>
          </w:p>
        </w:tc>
        <w:tc>
          <w:tcPr>
            <w:tcW w:w="2327" w:type="dxa"/>
            <w:tcBorders>
              <w:top w:val="nil"/>
              <w:left w:val="nil"/>
              <w:bottom w:val="single" w:color="auto" w:sz="8" w:space="0"/>
              <w:right w:val="single" w:color="auto" w:sz="8" w:space="0"/>
            </w:tcBorders>
            <w:shd w:val="clear" w:color="000000" w:fill="FFFFFF"/>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长效解决有效便利居民生活</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项目实施带来可持续影响</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长期便利</w:t>
            </w:r>
          </w:p>
        </w:tc>
        <w:tc>
          <w:tcPr>
            <w:tcW w:w="70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根据调查情况酌情给分。</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hAnsi="等线" w:eastAsia="仿宋_GB2312" w:cs="宋体"/>
                <w:color w:val="000000"/>
                <w:kern w:val="0"/>
                <w:sz w:val="22"/>
                <w:szCs w:val="22"/>
              </w:rPr>
              <w:t>8</w:t>
            </w:r>
          </w:p>
        </w:tc>
      </w:tr>
      <w:tr>
        <w:tblPrEx>
          <w:tblCellMar>
            <w:top w:w="0" w:type="dxa"/>
            <w:left w:w="108" w:type="dxa"/>
            <w:bottom w:w="0" w:type="dxa"/>
            <w:right w:w="108" w:type="dxa"/>
          </w:tblCellMar>
        </w:tblPrEx>
        <w:trPr>
          <w:trHeight w:val="322" w:hRule="atLeast"/>
        </w:trPr>
        <w:tc>
          <w:tcPr>
            <w:tcW w:w="989"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702" w:type="dxa"/>
            <w:vMerge w:val="continue"/>
            <w:tcBorders>
              <w:top w:val="nil"/>
              <w:left w:val="single" w:color="auto" w:sz="8" w:space="0"/>
              <w:bottom w:val="single" w:color="auto" w:sz="8" w:space="0"/>
              <w:right w:val="single" w:color="auto" w:sz="8" w:space="0"/>
            </w:tcBorders>
            <w:vAlign w:val="center"/>
          </w:tcPr>
          <w:p>
            <w:pPr>
              <w:widowControl/>
              <w:jc w:val="left"/>
              <w:rPr>
                <w:rFonts w:ascii="仿宋_GB2312" w:hAnsi="宋体" w:eastAsia="仿宋_GB2312" w:cs="宋体"/>
                <w:color w:val="000000"/>
                <w:kern w:val="0"/>
                <w:szCs w:val="21"/>
              </w:rPr>
            </w:pPr>
          </w:p>
        </w:tc>
        <w:tc>
          <w:tcPr>
            <w:tcW w:w="1075"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tc>
        <w:tc>
          <w:tcPr>
            <w:tcW w:w="2327"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社会公众或服务对象对项目实施效果的满意程度。</w:t>
            </w:r>
          </w:p>
        </w:tc>
        <w:tc>
          <w:tcPr>
            <w:tcW w:w="6663" w:type="dxa"/>
            <w:tcBorders>
              <w:top w:val="nil"/>
              <w:left w:val="nil"/>
              <w:bottom w:val="single" w:color="auto" w:sz="8" w:space="0"/>
              <w:right w:val="single" w:color="auto" w:sz="8" w:space="0"/>
            </w:tcBorders>
            <w:shd w:val="clear" w:color="000000" w:fill="FFFFFF"/>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社会公众或服务对象是指因该项目实施而受到影响的部门（单位）、群体或个人。一般采取社会调查的方式。</w:t>
            </w:r>
          </w:p>
        </w:tc>
        <w:tc>
          <w:tcPr>
            <w:tcW w:w="708"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709" w:type="dxa"/>
            <w:tcBorders>
              <w:top w:val="nil"/>
              <w:left w:val="nil"/>
              <w:bottom w:val="single" w:color="auto" w:sz="8" w:space="0"/>
              <w:right w:val="single" w:color="auto" w:sz="8"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559" w:type="dxa"/>
            <w:tcBorders>
              <w:top w:val="nil"/>
              <w:left w:val="nil"/>
              <w:bottom w:val="single" w:color="auto" w:sz="8" w:space="0"/>
              <w:right w:val="single" w:color="auto" w:sz="8"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≥95%得8分，每低1%，扣0.5分。扣完为止。</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color w:val="000000"/>
                <w:kern w:val="0"/>
                <w:sz w:val="22"/>
                <w:szCs w:val="22"/>
              </w:rPr>
            </w:pPr>
            <w:r>
              <w:rPr>
                <w:rFonts w:hint="eastAsia" w:ascii="仿宋_GB2312" w:hAnsi="等线" w:eastAsia="仿宋_GB2312" w:cs="宋体"/>
                <w:color w:val="000000"/>
                <w:kern w:val="0"/>
                <w:sz w:val="22"/>
                <w:szCs w:val="22"/>
              </w:rPr>
              <w:t>8</w:t>
            </w:r>
          </w:p>
        </w:tc>
      </w:tr>
      <w:tr>
        <w:tblPrEx>
          <w:tblCellMar>
            <w:top w:w="0" w:type="dxa"/>
            <w:left w:w="108" w:type="dxa"/>
            <w:bottom w:w="0" w:type="dxa"/>
            <w:right w:w="108" w:type="dxa"/>
          </w:tblCellMar>
        </w:tblPrEx>
        <w:trPr>
          <w:trHeight w:val="290" w:hRule="atLeast"/>
        </w:trPr>
        <w:tc>
          <w:tcPr>
            <w:tcW w:w="5093" w:type="dxa"/>
            <w:gridSpan w:val="4"/>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b/>
                <w:bCs/>
                <w:color w:val="000000"/>
                <w:kern w:val="0"/>
                <w:sz w:val="20"/>
                <w:szCs w:val="20"/>
              </w:rPr>
            </w:pPr>
            <w:r>
              <w:rPr>
                <w:rFonts w:hint="eastAsia" w:ascii="仿宋_GB2312" w:hAnsi="等线" w:eastAsia="仿宋_GB2312" w:cs="宋体"/>
                <w:b/>
                <w:bCs/>
                <w:color w:val="000000"/>
                <w:kern w:val="0"/>
                <w:sz w:val="20"/>
                <w:szCs w:val="20"/>
              </w:rPr>
              <w:t>合计</w:t>
            </w:r>
          </w:p>
        </w:tc>
        <w:tc>
          <w:tcPr>
            <w:tcW w:w="6663" w:type="dxa"/>
            <w:tcBorders>
              <w:top w:val="nil"/>
              <w:left w:val="nil"/>
              <w:bottom w:val="single" w:color="auto" w:sz="8" w:space="0"/>
              <w:right w:val="single" w:color="auto" w:sz="8" w:space="0"/>
            </w:tcBorders>
            <w:shd w:val="clear" w:color="auto" w:fill="auto"/>
            <w:noWrap/>
            <w:vAlign w:val="center"/>
          </w:tcPr>
          <w:p>
            <w:pPr>
              <w:widowControl/>
              <w:jc w:val="left"/>
              <w:rPr>
                <w:rFonts w:ascii="仿宋_GB2312" w:hAnsi="等线" w:eastAsia="仿宋_GB2312" w:cs="宋体"/>
                <w:b/>
                <w:bCs/>
                <w:color w:val="000000"/>
                <w:kern w:val="0"/>
                <w:sz w:val="20"/>
                <w:szCs w:val="20"/>
              </w:rPr>
            </w:pPr>
            <w:r>
              <w:rPr>
                <w:rFonts w:hint="eastAsia" w:ascii="仿宋_GB2312" w:hAnsi="等线" w:eastAsia="仿宋_GB2312" w:cs="宋体"/>
                <w:b/>
                <w:bCs/>
                <w:color w:val="000000"/>
                <w:kern w:val="0"/>
                <w:sz w:val="20"/>
                <w:szCs w:val="20"/>
              </w:rPr>
              <w:t>　</w:t>
            </w:r>
          </w:p>
        </w:tc>
        <w:tc>
          <w:tcPr>
            <w:tcW w:w="708"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b/>
                <w:bCs/>
                <w:color w:val="000000"/>
                <w:kern w:val="0"/>
                <w:sz w:val="20"/>
                <w:szCs w:val="20"/>
              </w:rPr>
            </w:pPr>
            <w:r>
              <w:rPr>
                <w:rFonts w:hint="eastAsia" w:ascii="仿宋_GB2312" w:hAnsi="等线" w:eastAsia="仿宋_GB2312" w:cs="宋体"/>
                <w:b/>
                <w:bCs/>
                <w:color w:val="000000"/>
                <w:kern w:val="0"/>
                <w:sz w:val="20"/>
                <w:szCs w:val="20"/>
              </w:rPr>
              <w:t>　</w:t>
            </w:r>
          </w:p>
        </w:tc>
        <w:tc>
          <w:tcPr>
            <w:tcW w:w="70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b/>
                <w:bCs/>
                <w:color w:val="000000"/>
                <w:kern w:val="0"/>
                <w:sz w:val="20"/>
                <w:szCs w:val="20"/>
              </w:rPr>
            </w:pPr>
            <w:r>
              <w:rPr>
                <w:rFonts w:hint="eastAsia" w:ascii="仿宋_GB2312" w:hAnsi="等线" w:eastAsia="仿宋_GB2312" w:cs="宋体"/>
                <w:b/>
                <w:bCs/>
                <w:color w:val="000000"/>
                <w:kern w:val="0"/>
                <w:sz w:val="20"/>
                <w:szCs w:val="20"/>
              </w:rPr>
              <w:t>100</w:t>
            </w:r>
          </w:p>
        </w:tc>
        <w:tc>
          <w:tcPr>
            <w:tcW w:w="1559"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b/>
                <w:bCs/>
                <w:color w:val="000000"/>
                <w:kern w:val="0"/>
                <w:sz w:val="20"/>
                <w:szCs w:val="20"/>
              </w:rPr>
            </w:pPr>
            <w:r>
              <w:rPr>
                <w:rFonts w:hint="eastAsia" w:ascii="仿宋_GB2312" w:hAnsi="等线" w:eastAsia="仿宋_GB2312" w:cs="宋体"/>
                <w:b/>
                <w:bCs/>
                <w:color w:val="000000"/>
                <w:kern w:val="0"/>
                <w:sz w:val="20"/>
                <w:szCs w:val="20"/>
              </w:rPr>
              <w:t>　</w:t>
            </w:r>
          </w:p>
        </w:tc>
        <w:tc>
          <w:tcPr>
            <w:tcW w:w="720" w:type="dxa"/>
            <w:tcBorders>
              <w:top w:val="nil"/>
              <w:left w:val="nil"/>
              <w:bottom w:val="single" w:color="auto" w:sz="8" w:space="0"/>
              <w:right w:val="single" w:color="auto" w:sz="8" w:space="0"/>
            </w:tcBorders>
            <w:shd w:val="clear" w:color="auto" w:fill="auto"/>
            <w:noWrap/>
            <w:vAlign w:val="center"/>
          </w:tcPr>
          <w:p>
            <w:pPr>
              <w:widowControl/>
              <w:jc w:val="center"/>
              <w:rPr>
                <w:rFonts w:ascii="仿宋_GB2312" w:hAnsi="等线" w:eastAsia="仿宋_GB2312" w:cs="宋体"/>
                <w:b/>
                <w:bCs/>
                <w:color w:val="000000"/>
                <w:kern w:val="0"/>
                <w:sz w:val="20"/>
                <w:szCs w:val="20"/>
              </w:rPr>
            </w:pPr>
            <w:r>
              <w:rPr>
                <w:rFonts w:hint="eastAsia" w:ascii="仿宋_GB2312" w:hAnsi="等线" w:eastAsia="仿宋_GB2312" w:cs="宋体"/>
                <w:b/>
                <w:bCs/>
                <w:color w:val="000000"/>
                <w:kern w:val="0"/>
                <w:sz w:val="20"/>
                <w:szCs w:val="20"/>
              </w:rPr>
              <w:t>80.52</w:t>
            </w:r>
          </w:p>
        </w:tc>
      </w:tr>
    </w:tbl>
    <w:p>
      <w:pPr>
        <w:rPr>
          <w:rFonts w:ascii="楷体_GB2312" w:hAnsi="楷体_GB2312" w:eastAsia="楷体_GB2312" w:cs="楷体_GB2312"/>
          <w:sz w:val="32"/>
          <w:szCs w:val="32"/>
        </w:rPr>
        <w:sectPr>
          <w:pgSz w:w="16838" w:h="11906" w:orient="landscape"/>
          <w:pgMar w:top="567" w:right="567" w:bottom="567" w:left="567" w:header="851" w:footer="992" w:gutter="0"/>
          <w:cols w:space="0" w:num="1"/>
          <w:docGrid w:type="lines" w:linePitch="315" w:charSpace="0"/>
        </w:sectPr>
      </w:pPr>
    </w:p>
    <w:p>
      <w:pPr>
        <w:spacing w:line="560" w:lineRule="exact"/>
        <w:ind w:firstLine="640" w:firstLineChars="200"/>
        <w:outlineLvl w:val="0"/>
        <w:rPr>
          <w:rFonts w:ascii="黑体" w:hAnsi="黑体" w:eastAsia="黑体" w:cs="黑体"/>
          <w:sz w:val="32"/>
          <w:szCs w:val="32"/>
        </w:rPr>
      </w:pPr>
      <w:bookmarkStart w:id="7" w:name="_Toc143010284"/>
      <w:r>
        <w:rPr>
          <w:rFonts w:hint="eastAsia" w:ascii="黑体" w:hAnsi="黑体" w:eastAsia="黑体" w:cs="黑体"/>
          <w:sz w:val="32"/>
          <w:szCs w:val="32"/>
        </w:rPr>
        <w:t>二、佐证材料</w:t>
      </w:r>
      <w:bookmarkEnd w:id="7"/>
    </w:p>
    <w:p>
      <w:pPr>
        <w:spacing w:line="560" w:lineRule="exact"/>
        <w:ind w:firstLine="643" w:firstLineChars="200"/>
        <w:outlineLvl w:val="1"/>
        <w:rPr>
          <w:rFonts w:ascii="楷体_GB2312" w:hAnsi="楷体_GB2312" w:eastAsia="楷体_GB2312" w:cs="楷体_GB2312"/>
          <w:b/>
          <w:bCs/>
          <w:sz w:val="32"/>
          <w:szCs w:val="32"/>
        </w:rPr>
      </w:pPr>
      <w:bookmarkStart w:id="8" w:name="_Toc143010285"/>
      <w:r>
        <w:rPr>
          <w:rFonts w:hint="eastAsia" w:ascii="楷体_GB2312" w:hAnsi="楷体_GB2312" w:eastAsia="楷体_GB2312" w:cs="楷体_GB2312"/>
          <w:b/>
          <w:bCs/>
          <w:sz w:val="32"/>
          <w:szCs w:val="32"/>
        </w:rPr>
        <w:t>（一）基本情况</w:t>
      </w:r>
      <w:bookmarkEnd w:id="8"/>
    </w:p>
    <w:p>
      <w:pPr>
        <w:spacing w:line="560" w:lineRule="exact"/>
        <w:ind w:firstLine="643" w:firstLineChars="200"/>
        <w:rPr>
          <w:rFonts w:ascii="仿宋_GB2312" w:hAnsi="Times New Roman" w:eastAsia="仿宋_GB2312"/>
          <w:b/>
          <w:bCs/>
          <w:sz w:val="32"/>
          <w:szCs w:val="32"/>
        </w:rPr>
      </w:pPr>
      <w:r>
        <w:rPr>
          <w:rFonts w:hint="eastAsia" w:ascii="仿宋_GB2312" w:hAnsi="Times New Roman" w:eastAsia="仿宋_GB2312"/>
          <w:b/>
          <w:bCs/>
          <w:sz w:val="32"/>
          <w:szCs w:val="32"/>
        </w:rPr>
        <w:t>1.项目立项背景及目的</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本次2022年度通城县中央城镇保障性住房安居工程项目资金绩效评价包括两项，分别是老旧小区改造和公租房租赁补贴。</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老旧小区改造项目根据《国务院办公厅关于全面推进城镇老小区改造工作的指导意见》 (国发(2020)23号)，《省发展和改革委员会办公室关于做好2020年保障性安居工程建设项目计划编报工作的通知》（鄂发改办投资【2019】82号），为认真贯彻落实国务院和省委的决策部署，抢抓国家老旧小区改造政策机遇，通城县住房和城乡建设局在通城县县委、县政府的统一部署下，统筹安排通城县老旧小区改造工作，并编制了《通城县2020-2025年老旧小区改造项目专项规划》，项目立项符合相关政策、发展规划。</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通城县按照因地制宜、分步实施的原则，从 2019年至2025年，逐步完善小区功能，全面整治“脏乱差”问题，着力解决老旧小区活动空间狭小、交通拥堵、道路破损、排水不畅、公共照明缺失以及违法建设、物业管理、消防设施等影响群众生活的突出问题，保障城市基础设施和公共服务设施供给，提高设施水平和服务质量，满足居民基本生活需求。逐步实现“功能完善、设施齐备、生活方便、居住舒适”的目标，全面改善通城县老旧小区居住环境，提升居民生活品质。</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公租房项目根据《廉租住房保障办法》对低收入家庭实施的廉租房保障，主要通过发放租赁补贴或实物配租等方式，通城县公租房租赁补贴项目采取货币补贴方式，每人每月</w:t>
      </w:r>
      <w:r>
        <w:rPr>
          <w:rFonts w:ascii="仿宋_GB2312" w:hAnsi="Times New Roman" w:eastAsia="仿宋_GB2312"/>
          <w:sz w:val="32"/>
          <w:szCs w:val="32"/>
        </w:rPr>
        <w:t>65</w:t>
      </w:r>
      <w:r>
        <w:rPr>
          <w:rFonts w:hint="eastAsia" w:ascii="仿宋_GB2312" w:hAnsi="Times New Roman" w:eastAsia="仿宋_GB2312"/>
          <w:sz w:val="32"/>
          <w:szCs w:val="32"/>
        </w:rPr>
        <w:t>元，截止目前，公租房租赁补贴对象有</w:t>
      </w:r>
      <w:r>
        <w:rPr>
          <w:rFonts w:ascii="仿宋_GB2312" w:hAnsi="Times New Roman" w:eastAsia="仿宋_GB2312"/>
          <w:sz w:val="32"/>
          <w:szCs w:val="32"/>
        </w:rPr>
        <w:t>221</w:t>
      </w:r>
      <w:r>
        <w:rPr>
          <w:rFonts w:hint="eastAsia" w:ascii="仿宋_GB2312" w:hAnsi="Times New Roman" w:eastAsia="仿宋_GB2312"/>
          <w:sz w:val="32"/>
          <w:szCs w:val="32"/>
        </w:rPr>
        <w:t>户</w:t>
      </w:r>
      <w:r>
        <w:rPr>
          <w:rFonts w:ascii="仿宋_GB2312" w:hAnsi="Times New Roman" w:eastAsia="仿宋_GB2312"/>
          <w:sz w:val="32"/>
          <w:szCs w:val="32"/>
        </w:rPr>
        <w:t>446</w:t>
      </w:r>
      <w:r>
        <w:rPr>
          <w:rFonts w:hint="eastAsia" w:ascii="仿宋_GB2312" w:hAnsi="Times New Roman" w:eastAsia="仿宋_GB2312"/>
          <w:sz w:val="32"/>
          <w:szCs w:val="32"/>
        </w:rPr>
        <w:t>人。</w:t>
      </w:r>
    </w:p>
    <w:p>
      <w:pPr>
        <w:spacing w:line="560" w:lineRule="exact"/>
        <w:ind w:firstLine="643" w:firstLineChars="200"/>
        <w:rPr>
          <w:rFonts w:hint="eastAsia" w:ascii="仿宋_GB2312" w:hAnsi="Times New Roman" w:eastAsia="仿宋_GB2312"/>
          <w:b/>
          <w:bCs/>
          <w:sz w:val="32"/>
          <w:szCs w:val="32"/>
        </w:rPr>
      </w:pPr>
      <w:r>
        <w:rPr>
          <w:rFonts w:hint="eastAsia" w:ascii="仿宋_GB2312" w:hAnsi="Times New Roman" w:eastAsia="仿宋_GB2312"/>
          <w:b/>
          <w:bCs/>
          <w:sz w:val="32"/>
          <w:szCs w:val="32"/>
        </w:rPr>
        <w:t>2.年度项目总体绩效目标</w:t>
      </w:r>
    </w:p>
    <w:p>
      <w:pPr>
        <w:spacing w:line="56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老旧小区改造通过对12个老旧小区（5096户、50.804万平方米，337栋楼房）的道路、人行道、机动车道、给水管道、雨水管道、污水管道、燃气管道、路灯、绿化景观等基础设施的改造，改善居民生活环境，提高居民生活质量；通过对困难群众租赁住房补贴的发放，及时解决困难群众的住房问题，确保社会稳定。</w:t>
      </w:r>
    </w:p>
    <w:p>
      <w:pPr>
        <w:spacing w:line="56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公租房租赁补贴通过货币补贴方式，解决困难家庭承租住房能力。</w:t>
      </w:r>
    </w:p>
    <w:p>
      <w:pPr>
        <w:spacing w:line="560" w:lineRule="exact"/>
        <w:ind w:firstLine="643" w:firstLineChars="200"/>
        <w:rPr>
          <w:rFonts w:hint="eastAsia" w:ascii="仿宋_GB2312" w:hAnsi="Times New Roman" w:eastAsia="仿宋_GB2312"/>
          <w:b/>
          <w:bCs/>
          <w:sz w:val="32"/>
          <w:szCs w:val="32"/>
        </w:rPr>
      </w:pPr>
      <w:r>
        <w:rPr>
          <w:rFonts w:hint="eastAsia" w:ascii="仿宋_GB2312" w:hAnsi="Times New Roman" w:eastAsia="仿宋_GB2312"/>
          <w:b/>
          <w:bCs/>
          <w:sz w:val="32"/>
          <w:szCs w:val="32"/>
        </w:rPr>
        <w:t>3.项目资金的预算安排情况</w:t>
      </w:r>
    </w:p>
    <w:p>
      <w:pPr>
        <w:spacing w:line="56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根据《省财政厅关于提前下达2022年部分中央财政保障性安居工程补助资金的通知》（鄂财综发【2021】11号）文件通知，下达通城县2022年中央财政保障性安居工程补助资金2127万元；《省财政厅关于下达2022年中央财政城镇保障性安居工程补助资金的通知》（鄂财综发【2022】8号）文件通知，下达通城县2022年城镇老旧小区改造财政补助资金238万元，共计安排资金2365万元。其中用于保障性住房租赁补助资金126万元，用于12个老旧小区改造资金2239万元。改造的小区有：老车站小区、老广播局小区、水塔小区、老农机公司小区、新塘二小区、东新街小区、老一瓷厂小区、康宁小区、宝塔小区、隽水市场小区、计生委宿舍小区、佘畈小区；</w:t>
      </w:r>
    </w:p>
    <w:p>
      <w:pPr>
        <w:spacing w:line="560" w:lineRule="exact"/>
        <w:ind w:firstLine="643" w:firstLineChars="200"/>
        <w:outlineLvl w:val="1"/>
        <w:rPr>
          <w:rFonts w:hint="eastAsia" w:ascii="楷体_GB2312" w:hAnsi="楷体_GB2312" w:eastAsia="楷体_GB2312" w:cs="楷体_GB2312"/>
          <w:b/>
          <w:bCs/>
          <w:sz w:val="32"/>
          <w:szCs w:val="32"/>
        </w:rPr>
      </w:pPr>
      <w:bookmarkStart w:id="9" w:name="_Toc143010286"/>
      <w:r>
        <w:rPr>
          <w:rFonts w:hint="eastAsia" w:ascii="楷体_GB2312" w:hAnsi="楷体_GB2312" w:eastAsia="楷体_GB2312" w:cs="楷体_GB2312"/>
          <w:b/>
          <w:bCs/>
          <w:sz w:val="32"/>
          <w:szCs w:val="32"/>
        </w:rPr>
        <w:t>（二）绩效评价工作开展情况</w:t>
      </w:r>
      <w:bookmarkEnd w:id="9"/>
    </w:p>
    <w:p>
      <w:pPr>
        <w:spacing w:line="560" w:lineRule="exact"/>
        <w:ind w:firstLine="643" w:firstLineChars="200"/>
        <w:rPr>
          <w:rFonts w:hint="eastAsia" w:ascii="仿宋_GB2312" w:hAnsi="Times New Roman" w:eastAsia="仿宋_GB2312"/>
          <w:b/>
          <w:bCs/>
          <w:sz w:val="32"/>
          <w:szCs w:val="32"/>
        </w:rPr>
      </w:pPr>
      <w:r>
        <w:rPr>
          <w:rFonts w:hint="eastAsia" w:ascii="仿宋_GB2312" w:hAnsi="Times New Roman" w:eastAsia="仿宋_GB2312"/>
          <w:b/>
          <w:bCs/>
          <w:sz w:val="32"/>
          <w:szCs w:val="32"/>
        </w:rPr>
        <w:t>1.评价目的</w:t>
      </w:r>
    </w:p>
    <w:p>
      <w:pPr>
        <w:spacing w:line="560" w:lineRule="exact"/>
        <w:ind w:firstLine="640" w:firstLineChars="200"/>
        <w:rPr>
          <w:rFonts w:hint="eastAsia" w:ascii="仿宋_GB2312" w:hAnsi="仿宋_GB2312" w:eastAsia="仿宋_GB2312" w:cs="仿宋_GB2312"/>
          <w:color w:val="FF0000"/>
          <w:sz w:val="32"/>
          <w:szCs w:val="32"/>
        </w:rPr>
      </w:pPr>
      <w:bookmarkStart w:id="10" w:name="_Toc21483"/>
      <w:bookmarkStart w:id="11" w:name="_Toc2587"/>
      <w:r>
        <w:rPr>
          <w:rFonts w:hint="eastAsia" w:ascii="仿宋_GB2312" w:hAnsi="仿宋_GB2312" w:eastAsia="仿宋_GB2312" w:cs="仿宋_GB2312"/>
          <w:sz w:val="32"/>
          <w:szCs w:val="32"/>
        </w:rPr>
        <w:t>通过开展专项资金投入项目绩效评价工作，全面了解预算资金投入计划执行结果、资金管理与使用，绩效产出与效果，切实提高财政资源配置效率与使用效益。考核财政资金支出与实现绩效目标的匹配性，完善资金支出绩效目标管理，确保绩效目标设定的科学性与合理性。同时促使资金使用单位树立绩效管理意识及风险控制意识，以问题为导向，进一步完善项目资金管理，优化财政资源配置效率与使用效益。</w:t>
      </w:r>
      <w:bookmarkEnd w:id="10"/>
      <w:bookmarkEnd w:id="11"/>
    </w:p>
    <w:p>
      <w:pPr>
        <w:spacing w:line="560" w:lineRule="exact"/>
        <w:ind w:firstLine="643" w:firstLineChars="200"/>
        <w:rPr>
          <w:rFonts w:hint="eastAsia" w:ascii="仿宋_GB2312" w:hAnsi="Times New Roman" w:eastAsia="仿宋_GB2312"/>
          <w:b/>
          <w:bCs/>
          <w:sz w:val="32"/>
          <w:szCs w:val="32"/>
        </w:rPr>
      </w:pPr>
      <w:r>
        <w:rPr>
          <w:rFonts w:hint="eastAsia" w:ascii="仿宋_GB2312" w:hAnsi="Times New Roman" w:eastAsia="仿宋_GB2312"/>
          <w:b/>
          <w:bCs/>
          <w:sz w:val="32"/>
          <w:szCs w:val="32"/>
        </w:rPr>
        <w:t>2.评价对象和范围</w:t>
      </w:r>
    </w:p>
    <w:p>
      <w:pPr>
        <w:spacing w:line="56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根据《县财政局关于开展2022年度预算单位重点绩效评价工作的通知》（隽财发〔2023〕24号），本次评价对象为2022年中央财政城镇保障性工程补助资金（央、省专项）项目，评价金额2365万元。</w:t>
      </w:r>
    </w:p>
    <w:p>
      <w:pPr>
        <w:spacing w:line="560" w:lineRule="exact"/>
        <w:ind w:firstLine="643" w:firstLineChars="200"/>
        <w:rPr>
          <w:rFonts w:hint="eastAsia" w:ascii="仿宋_GB2312" w:hAnsi="仿宋" w:eastAsia="仿宋_GB2312" w:cs="宋体"/>
          <w:b/>
          <w:sz w:val="32"/>
          <w:szCs w:val="32"/>
        </w:rPr>
      </w:pPr>
      <w:r>
        <w:rPr>
          <w:rFonts w:hint="eastAsia" w:ascii="仿宋_GB2312" w:hAnsi="仿宋" w:eastAsia="仿宋_GB2312" w:cs="宋体"/>
          <w:b/>
          <w:sz w:val="32"/>
          <w:szCs w:val="32"/>
        </w:rPr>
        <w:t>3.评价方法</w:t>
      </w:r>
    </w:p>
    <w:p>
      <w:pPr>
        <w:spacing w:line="560" w:lineRule="exact"/>
        <w:ind w:firstLine="420" w:firstLineChars="200"/>
        <w:rPr>
          <w:rFonts w:hint="eastAsia" w:ascii="仿宋_GB2312" w:hAnsi="仿宋" w:eastAsia="仿宋_GB2312" w:cs="仿宋"/>
          <w:sz w:val="32"/>
          <w:szCs w:val="32"/>
        </w:rPr>
      </w:pPr>
      <w:r>
        <w:rPr>
          <w:rFonts w:hint="eastAsia" w:ascii="仿宋_GB2312" w:eastAsia="仿宋_GB2312"/>
        </w:rPr>
        <w:t xml:space="preserve">  </w:t>
      </w:r>
      <w:r>
        <w:rPr>
          <w:rFonts w:hint="eastAsia" w:ascii="仿宋_GB2312" w:hAnsi="仿宋" w:eastAsia="仿宋_GB2312" w:cs="仿宋"/>
          <w:sz w:val="32"/>
          <w:szCs w:val="32"/>
        </w:rPr>
        <w:t>评价过程中我们交叉采用下列方法：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（1）目标比较法。将部门整体运行结果与年度预定目标的比较，分析目标实现程度的方法。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（2）成本效益法。将投入与产出、效益进行关联性分析的方法。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（3）因素分析法。综合分析影响绩效目标实现、实施效果的内外部因素的方法。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（4）公众评判法。针对部分支出难以直接用量化的指标计量其支出效益的，通过项目服务对象满意度调查等方式进行评判。</w:t>
      </w:r>
    </w:p>
    <w:p>
      <w:pPr>
        <w:spacing w:line="560" w:lineRule="exact"/>
        <w:ind w:firstLine="643" w:firstLineChars="200"/>
        <w:rPr>
          <w:rFonts w:ascii="仿宋_GB2312" w:hAnsi="仿宋" w:eastAsia="仿宋_GB2312" w:cs="宋体"/>
          <w:b/>
          <w:sz w:val="32"/>
          <w:szCs w:val="32"/>
        </w:rPr>
      </w:pPr>
      <w:r>
        <w:rPr>
          <w:rFonts w:hint="eastAsia" w:ascii="仿宋_GB2312" w:hAnsi="仿宋" w:eastAsia="仿宋_GB2312" w:cs="宋体"/>
          <w:b/>
          <w:sz w:val="32"/>
          <w:szCs w:val="32"/>
        </w:rPr>
        <w:t>4、评价内容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从项目决策、过程、产出、效果四个基本维度及其各维度细分评价指标及标准对项目实施绩效进行综合评价。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决策。主要评价资金项目立项的规范性、绩效目标的明确性、资金的预算编制及合理安排情况；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过程。主要评价专项资金的保障与管理，包括项目的资金执行结果、财政与业务管理制度的建设与执行有效性，机构与人员保障性等；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产出。主要评价项目设定的绩效目标实际完成情况。包括产出的数量、质量、时效及成本指标的完成情况；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效果。主要评价项目实施给经济和社会带来的直接或间接影响，项目后续运行及成效发挥的可持续影响情况，以及项目服务对象对项目实施的满意程度。</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5、评价工作组织</w:t>
      </w:r>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cs="宋体"/>
          <w:sz w:val="32"/>
          <w:szCs w:val="32"/>
        </w:rPr>
        <w:t>湖北恒信会计师事务有限公司受通城县财政局的委托，开展本次项目的绩效评价工作，根据湖北省预算绩效管理《第三方机构参与预算绩效管理工作行为规范》及</w:t>
      </w:r>
      <w:r>
        <w:rPr>
          <w:rFonts w:hint="eastAsia" w:ascii="仿宋_GB2312" w:hAnsi="Times New Roman" w:eastAsia="仿宋_GB2312"/>
          <w:sz w:val="32"/>
          <w:szCs w:val="32"/>
        </w:rPr>
        <w:t>通城县《县财政局关于开展2022年度预算单位重点绩效评价工作的通知》（隽财发〔2023〕24号）</w:t>
      </w:r>
      <w:r>
        <w:rPr>
          <w:rFonts w:hint="eastAsia" w:ascii="仿宋_GB2312" w:hAnsi="仿宋" w:eastAsia="仿宋_GB2312" w:cs="宋体"/>
          <w:sz w:val="32"/>
          <w:szCs w:val="32"/>
        </w:rPr>
        <w:t>的要求，积极组织开展评价工作。</w:t>
      </w:r>
      <w:r>
        <w:rPr>
          <w:rFonts w:hint="eastAsia" w:ascii="仿宋_GB2312" w:hAnsi="仿宋_GB2312" w:eastAsia="仿宋_GB2312" w:cs="仿宋_GB2312"/>
          <w:sz w:val="32"/>
          <w:szCs w:val="32"/>
        </w:rPr>
        <w:t>绩效评价工作分为准备、实施和报告三个阶段。</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（1）准备阶段（6月</w:t>
      </w:r>
      <w:r>
        <w:rPr>
          <w:rFonts w:ascii="仿宋_GB2312" w:hAnsi="仿宋_GB2312" w:eastAsia="仿宋_GB2312" w:cs="仿宋_GB2312"/>
          <w:b/>
          <w:sz w:val="32"/>
          <w:szCs w:val="32"/>
        </w:rPr>
        <w:t>19</w:t>
      </w:r>
      <w:r>
        <w:rPr>
          <w:rFonts w:hint="eastAsia" w:ascii="仿宋_GB2312" w:hAnsi="仿宋_GB2312" w:eastAsia="仿宋_GB2312" w:cs="仿宋_GB2312"/>
          <w:b/>
          <w:sz w:val="32"/>
          <w:szCs w:val="32"/>
        </w:rPr>
        <w:t>日-7月10日）。</w:t>
      </w:r>
      <w:r>
        <w:rPr>
          <w:rFonts w:hint="eastAsia" w:ascii="仿宋_GB2312" w:hAnsi="仿宋_GB2312" w:eastAsia="仿宋_GB2312" w:cs="仿宋_GB2312"/>
          <w:sz w:val="32"/>
          <w:szCs w:val="32"/>
        </w:rPr>
        <w:t>成立评价工作组，根据本次绩效评价工作的目标、任务及要求，由公司熟悉预算绩效管理政策、工作经验丰富并在财政项目支出评价和相关行业领域的专业人员组成本次绩效评价工作小组，并由2名主评人参与主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评价工作组向通城县财政局及资金使用单位了解项目实施相关政策背景目的、资金安排、项目申报、项目审核、资金分配及拨付等相关管理信息材料，制定评价工作具体方案，设计评价指标体系。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落实评价工作对象。根据工作安排，评价工作组联系被评价工作单位，布置进场前期准备工作，提交绩效评价信息收集清单，为现场实施阶段工作开展打好基础。</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（2）实施阶段（7月11日-8月15日）。</w:t>
      </w:r>
      <w:r>
        <w:rPr>
          <w:rFonts w:hint="eastAsia" w:ascii="仿宋_GB2312" w:hAnsi="仿宋_GB2312" w:eastAsia="仿宋_GB2312" w:cs="仿宋_GB2312"/>
          <w:sz w:val="32"/>
          <w:szCs w:val="32"/>
        </w:rPr>
        <w:t xml:space="preserve">评价工作组进点各资金执行单位，并组织开展专题座谈、访谈，项目现场实地勘察，核查项目资金的管理与使用，考核项目绩效目标的实现程度，实施问卷调查等工作。查阅取证，收集评价相关信息资料。 </w:t>
      </w:r>
    </w:p>
    <w:p>
      <w:pPr>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（3）报告阶段（8月16日-8月31日）。</w:t>
      </w:r>
      <w:r>
        <w:rPr>
          <w:rFonts w:hint="eastAsia" w:ascii="仿宋_GB2312" w:hAnsi="仿宋_GB2312" w:eastAsia="仿宋_GB2312" w:cs="仿宋_GB2312"/>
          <w:sz w:val="32"/>
          <w:szCs w:val="32"/>
        </w:rPr>
        <w:t>评价工作组对收集到的评价信息资料进行统计、整理与分析，根据评价基础数据及信息资料统计、整理分析结果，对照资金绩效评价指标体系具体指标及评分标准进行综合分析评价及指标得分计算，作出初步评价结论，撰写并完成评价报告初稿，提交通城县财政局及资金使用单位征询意见。根据反馈意见修改、调整、完善评价报告初稿，并正式提交报告。</w:t>
      </w:r>
    </w:p>
    <w:p>
      <w:pPr>
        <w:spacing w:line="560" w:lineRule="exact"/>
        <w:ind w:firstLine="643" w:firstLineChars="200"/>
        <w:outlineLvl w:val="1"/>
        <w:rPr>
          <w:rFonts w:hint="eastAsia" w:ascii="楷体_GB2312" w:hAnsi="楷体_GB2312" w:eastAsia="楷体_GB2312" w:cs="楷体_GB2312"/>
          <w:b/>
          <w:bCs/>
          <w:sz w:val="32"/>
          <w:szCs w:val="32"/>
        </w:rPr>
      </w:pPr>
      <w:bookmarkStart w:id="12" w:name="_Toc143010287"/>
      <w:r>
        <w:rPr>
          <w:rFonts w:hint="eastAsia" w:ascii="楷体_GB2312" w:hAnsi="楷体_GB2312" w:eastAsia="楷体_GB2312" w:cs="楷体_GB2312"/>
          <w:b/>
          <w:bCs/>
          <w:sz w:val="32"/>
          <w:szCs w:val="32"/>
        </w:rPr>
        <w:t>（三）绩效评价指标完成情况分析</w:t>
      </w:r>
      <w:bookmarkEnd w:id="12"/>
    </w:p>
    <w:p>
      <w:pPr>
        <w:spacing w:line="56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根据设定的项目绩效指标评价体系，依照指标评价标准及评分细则，从决策、过程、产出和效果四个维度对项目绩效进行分析评价打分。</w:t>
      </w:r>
    </w:p>
    <w:p>
      <w:pPr>
        <w:spacing w:line="560" w:lineRule="exact"/>
        <w:ind w:firstLine="643" w:firstLineChars="200"/>
        <w:rPr>
          <w:rFonts w:hint="eastAsia" w:ascii="仿宋_GB2312" w:hAnsi="Times New Roman" w:eastAsia="仿宋_GB2312"/>
          <w:b/>
          <w:bCs/>
          <w:sz w:val="32"/>
          <w:szCs w:val="32"/>
        </w:rPr>
      </w:pPr>
      <w:r>
        <w:rPr>
          <w:rFonts w:hint="eastAsia" w:ascii="仿宋_GB2312" w:hAnsi="Times New Roman" w:eastAsia="仿宋_GB2312"/>
          <w:b/>
          <w:bCs/>
          <w:sz w:val="32"/>
          <w:szCs w:val="32"/>
        </w:rPr>
        <w:t>1.决策分析</w:t>
      </w:r>
    </w:p>
    <w:p>
      <w:pPr>
        <w:spacing w:line="560" w:lineRule="exact"/>
        <w:ind w:firstLine="643" w:firstLineChars="200"/>
        <w:rPr>
          <w:rFonts w:hint="eastAsia" w:ascii="仿宋_GB2312" w:hAnsi="Times New Roman" w:eastAsia="仿宋_GB2312"/>
          <w:b/>
          <w:bCs/>
          <w:sz w:val="32"/>
          <w:szCs w:val="32"/>
        </w:rPr>
      </w:pPr>
      <w:r>
        <w:rPr>
          <w:rFonts w:hint="eastAsia" w:ascii="仿宋_GB2312" w:hAnsi="Times New Roman" w:eastAsia="仿宋_GB2312"/>
          <w:b/>
          <w:bCs/>
          <w:sz w:val="32"/>
          <w:szCs w:val="32"/>
        </w:rPr>
        <w:t>（1）项目立项</w:t>
      </w:r>
    </w:p>
    <w:p>
      <w:pPr>
        <w:spacing w:line="560" w:lineRule="exact"/>
        <w:ind w:firstLine="643" w:firstLineChars="200"/>
        <w:rPr>
          <w:rFonts w:hint="eastAsia" w:ascii="仿宋_GB2312" w:hAnsi="Times New Roman" w:eastAsia="仿宋_GB2312"/>
          <w:b/>
          <w:bCs/>
          <w:sz w:val="32"/>
          <w:szCs w:val="32"/>
        </w:rPr>
      </w:pPr>
      <w:r>
        <w:rPr>
          <w:rFonts w:hint="eastAsia" w:ascii="仿宋_GB2312" w:hAnsi="宋体" w:eastAsia="仿宋_GB2312" w:cs="宋体"/>
          <w:b/>
          <w:bCs/>
          <w:sz w:val="32"/>
          <w:szCs w:val="32"/>
        </w:rPr>
        <w:t>①</w:t>
      </w:r>
      <w:r>
        <w:rPr>
          <w:rFonts w:hint="eastAsia" w:ascii="仿宋_GB2312" w:hAnsi="Times New Roman" w:eastAsia="仿宋_GB2312"/>
          <w:b/>
          <w:bCs/>
          <w:sz w:val="32"/>
          <w:szCs w:val="32"/>
        </w:rPr>
        <w:t>立项依据充分性（标准分值3分）</w:t>
      </w:r>
    </w:p>
    <w:p>
      <w:pPr>
        <w:spacing w:line="560" w:lineRule="exact"/>
        <w:ind w:firstLine="643" w:firstLineChars="200"/>
        <w:rPr>
          <w:rFonts w:hint="eastAsia" w:ascii="仿宋_GB2312" w:hAnsi="Times New Roman" w:eastAsia="仿宋_GB2312"/>
          <w:sz w:val="32"/>
          <w:szCs w:val="32"/>
        </w:rPr>
      </w:pPr>
      <w:r>
        <w:rPr>
          <w:rFonts w:hint="eastAsia" w:ascii="仿宋_GB2312" w:hAnsi="仿宋" w:eastAsia="仿宋_GB2312" w:cs="楷体"/>
          <w:b/>
          <w:sz w:val="32"/>
          <w:szCs w:val="32"/>
        </w:rPr>
        <w:t>指标内容：</w:t>
      </w:r>
      <w:r>
        <w:rPr>
          <w:rFonts w:hint="eastAsia" w:ascii="仿宋_GB2312" w:hAnsi="Times New Roman" w:eastAsia="仿宋_GB2312"/>
          <w:sz w:val="32"/>
          <w:szCs w:val="32"/>
        </w:rPr>
        <w:t>项目立项是否符合法律法规、相关政策、发展规划以及部门职责，用以反映和考核项目立项依据情况。</w:t>
      </w:r>
    </w:p>
    <w:p>
      <w:pPr>
        <w:spacing w:line="560" w:lineRule="exact"/>
        <w:ind w:firstLine="643" w:firstLineChars="200"/>
        <w:rPr>
          <w:rFonts w:hint="eastAsia" w:ascii="仿宋_GB2312" w:hAnsi="Times New Roman" w:eastAsia="仿宋_GB2312"/>
          <w:sz w:val="32"/>
          <w:szCs w:val="32"/>
        </w:rPr>
      </w:pPr>
      <w:r>
        <w:rPr>
          <w:rFonts w:hint="eastAsia" w:ascii="仿宋_GB2312" w:hAnsi="仿宋" w:eastAsia="仿宋_GB2312" w:cs="楷体"/>
          <w:b/>
          <w:sz w:val="32"/>
          <w:szCs w:val="32"/>
        </w:rPr>
        <w:t>评价分析：</w:t>
      </w:r>
      <w:r>
        <w:rPr>
          <w:rFonts w:hint="eastAsia" w:ascii="仿宋_GB2312" w:hAnsi="Times New Roman" w:eastAsia="仿宋_GB2312"/>
          <w:sz w:val="32"/>
          <w:szCs w:val="32"/>
        </w:rPr>
        <w:t>项目依据《国务院办公厅关于全面推进城镇老旧小区改造工作的指导意见》（国发（2020）23号）文件，通城县住房和城乡建设局在通城县县委、县政府的统一部署下，统筹安排通城县老旧小区改造工作，并编制了《通城县2020-2025年老旧小区改造项目专项规划》；《县人民政府办公室关于印发通城县城镇保障性住房管理实施细则的通知》(隽政发【2018】27号)确定了对符合条件的低收入家庭可申请公租房租赁补贴，项目立项符合相关政策、发展规划。</w:t>
      </w:r>
    </w:p>
    <w:p>
      <w:pPr>
        <w:spacing w:line="560" w:lineRule="exact"/>
        <w:ind w:firstLine="643" w:firstLineChars="200"/>
        <w:rPr>
          <w:rFonts w:hint="eastAsia" w:ascii="仿宋_GB2312" w:hAnsi="Times New Roman" w:eastAsia="仿宋_GB2312"/>
          <w:sz w:val="32"/>
          <w:szCs w:val="32"/>
        </w:rPr>
      </w:pPr>
      <w:r>
        <w:rPr>
          <w:rFonts w:hint="eastAsia" w:ascii="仿宋_GB2312" w:hAnsi="仿宋" w:eastAsia="仿宋_GB2312" w:cs="楷体"/>
          <w:b/>
          <w:sz w:val="32"/>
          <w:szCs w:val="32"/>
        </w:rPr>
        <w:t>评价得分：</w:t>
      </w:r>
      <w:r>
        <w:rPr>
          <w:rFonts w:hint="eastAsia" w:ascii="仿宋_GB2312" w:hAnsi="Times New Roman" w:eastAsia="仿宋_GB2312"/>
          <w:sz w:val="32"/>
          <w:szCs w:val="32"/>
        </w:rPr>
        <w:t>项目立项依据充分，指标评价综合得分3分。</w:t>
      </w:r>
    </w:p>
    <w:p>
      <w:pPr>
        <w:spacing w:line="560" w:lineRule="exact"/>
        <w:ind w:firstLine="643" w:firstLineChars="200"/>
        <w:rPr>
          <w:rFonts w:hint="eastAsia" w:ascii="仿宋_GB2312" w:hAnsi="Times New Roman" w:eastAsia="仿宋_GB2312"/>
          <w:b/>
          <w:bCs/>
          <w:sz w:val="32"/>
          <w:szCs w:val="32"/>
        </w:rPr>
      </w:pPr>
      <w:r>
        <w:rPr>
          <w:rFonts w:hint="eastAsia" w:ascii="仿宋_GB2312" w:hAnsi="宋体" w:eastAsia="仿宋_GB2312" w:cs="宋体"/>
          <w:b/>
          <w:bCs/>
          <w:sz w:val="32"/>
          <w:szCs w:val="32"/>
        </w:rPr>
        <w:t>②</w:t>
      </w:r>
      <w:r>
        <w:rPr>
          <w:rFonts w:hint="eastAsia" w:ascii="仿宋_GB2312" w:hAnsi="Times New Roman" w:eastAsia="仿宋_GB2312"/>
          <w:b/>
          <w:bCs/>
          <w:sz w:val="32"/>
          <w:szCs w:val="32"/>
        </w:rPr>
        <w:t>立项程序规范性（标准分值3分）</w:t>
      </w:r>
    </w:p>
    <w:p>
      <w:pPr>
        <w:spacing w:line="560" w:lineRule="exact"/>
        <w:ind w:firstLine="643" w:firstLineChars="200"/>
        <w:rPr>
          <w:rFonts w:hint="eastAsia" w:ascii="仿宋_GB2312" w:hAnsi="Times New Roman" w:eastAsia="仿宋_GB2312"/>
          <w:sz w:val="32"/>
          <w:szCs w:val="32"/>
        </w:rPr>
      </w:pPr>
      <w:r>
        <w:rPr>
          <w:rFonts w:hint="eastAsia" w:ascii="仿宋_GB2312" w:hAnsi="仿宋" w:eastAsia="仿宋_GB2312" w:cs="楷体"/>
          <w:b/>
          <w:sz w:val="32"/>
          <w:szCs w:val="32"/>
        </w:rPr>
        <w:t>指标内容：</w:t>
      </w:r>
      <w:r>
        <w:rPr>
          <w:rFonts w:hint="eastAsia" w:ascii="仿宋_GB2312" w:hAnsi="Times New Roman" w:eastAsia="仿宋_GB2312"/>
          <w:sz w:val="32"/>
          <w:szCs w:val="32"/>
        </w:rPr>
        <w:t>项目申请、设立过程是否符合相关要求，用以反映和考核项目立项的规范情况。</w:t>
      </w:r>
    </w:p>
    <w:p>
      <w:pPr>
        <w:spacing w:line="560" w:lineRule="exact"/>
        <w:ind w:firstLine="643" w:firstLineChars="200"/>
        <w:rPr>
          <w:rFonts w:hint="eastAsia" w:ascii="仿宋_GB2312" w:hAnsi="仿宋" w:eastAsia="仿宋_GB2312" w:cs="楷体"/>
          <w:bCs/>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Cs/>
          <w:sz w:val="32"/>
          <w:szCs w:val="32"/>
        </w:rPr>
        <w:t>为贯彻落实国家和省、市关于老旧小区改造工作的决策部署，提升通城县老旧小区居民生活品质，改善城乡居民环境，结合通城县实际情况，制定了老旧小区整治改造实施方案，经县政府2020年城建工作专题办公第28期会议同意。公租房租赁补贴根据《通城县城镇保障性住房管理实施细则》严格落实审批程序，项目立项程序规范。</w:t>
      </w:r>
    </w:p>
    <w:p>
      <w:pPr>
        <w:spacing w:line="560" w:lineRule="exact"/>
        <w:ind w:firstLine="643" w:firstLineChars="200"/>
        <w:rPr>
          <w:rFonts w:hint="eastAsia" w:ascii="仿宋_GB2312" w:hAnsi="仿宋" w:eastAsia="仿宋_GB2312"/>
          <w:sz w:val="32"/>
          <w:szCs w:val="32"/>
        </w:rPr>
      </w:pPr>
      <w:r>
        <w:rPr>
          <w:rFonts w:hint="eastAsia" w:ascii="仿宋_GB2312" w:hAnsi="仿宋" w:eastAsia="仿宋_GB2312" w:cs="楷体"/>
          <w:b/>
          <w:sz w:val="32"/>
          <w:szCs w:val="32"/>
        </w:rPr>
        <w:t>评价得分：</w:t>
      </w:r>
      <w:r>
        <w:rPr>
          <w:rFonts w:hint="eastAsia" w:ascii="仿宋_GB2312" w:hAnsi="仿宋" w:eastAsia="仿宋_GB2312"/>
          <w:sz w:val="32"/>
          <w:szCs w:val="32"/>
        </w:rPr>
        <w:t>项目立项程序规范，指标评价综合得分3分。</w:t>
      </w:r>
    </w:p>
    <w:p>
      <w:pPr>
        <w:spacing w:line="560" w:lineRule="exact"/>
        <w:ind w:firstLine="643" w:firstLineChars="200"/>
        <w:rPr>
          <w:rFonts w:hint="eastAsia" w:ascii="仿宋_GB2312" w:hAnsi="仿宋" w:eastAsia="仿宋_GB2312" w:cs="楷体"/>
          <w:b/>
          <w:sz w:val="32"/>
          <w:szCs w:val="32"/>
        </w:rPr>
      </w:pPr>
      <w:r>
        <w:rPr>
          <w:rFonts w:hint="eastAsia" w:ascii="仿宋_GB2312" w:hAnsi="仿宋" w:eastAsia="仿宋_GB2312" w:cs="楷体"/>
          <w:b/>
          <w:color w:val="000000"/>
          <w:sz w:val="32"/>
          <w:szCs w:val="32"/>
        </w:rPr>
        <w:t>（2）</w:t>
      </w:r>
      <w:r>
        <w:rPr>
          <w:rFonts w:hint="eastAsia" w:ascii="仿宋_GB2312" w:hAnsi="仿宋" w:eastAsia="仿宋_GB2312" w:cs="楷体"/>
          <w:b/>
          <w:sz w:val="32"/>
          <w:szCs w:val="32"/>
        </w:rPr>
        <w:t>绩效目标</w:t>
      </w:r>
    </w:p>
    <w:p>
      <w:pPr>
        <w:spacing w:line="560" w:lineRule="exact"/>
        <w:ind w:firstLine="643" w:firstLineChars="200"/>
        <w:rPr>
          <w:rFonts w:hint="eastAsia" w:ascii="仿宋_GB2312" w:hAnsi="仿宋" w:eastAsia="仿宋_GB2312" w:cs="仿宋"/>
          <w:sz w:val="32"/>
          <w:szCs w:val="32"/>
        </w:rPr>
      </w:pPr>
      <w:r>
        <w:rPr>
          <w:rFonts w:hint="eastAsia" w:ascii="仿宋_GB2312" w:eastAsia="仿宋_GB2312" w:cs="Calibri"/>
          <w:b/>
          <w:sz w:val="32"/>
          <w:szCs w:val="32"/>
        </w:rPr>
        <w:t>①</w:t>
      </w:r>
      <w:r>
        <w:rPr>
          <w:rFonts w:hint="eastAsia" w:ascii="仿宋_GB2312" w:hAnsi="仿宋" w:eastAsia="仿宋_GB2312"/>
          <w:b/>
          <w:sz w:val="32"/>
          <w:szCs w:val="32"/>
        </w:rPr>
        <w:t>绩效目标合理性（</w:t>
      </w:r>
      <w:r>
        <w:rPr>
          <w:rFonts w:hint="eastAsia" w:ascii="仿宋_GB2312" w:hAnsi="仿宋" w:eastAsia="仿宋_GB2312" w:cs="宋体"/>
          <w:b/>
          <w:sz w:val="32"/>
          <w:szCs w:val="32"/>
        </w:rPr>
        <w:t>标准分值3分）</w:t>
      </w:r>
    </w:p>
    <w:p>
      <w:pPr>
        <w:spacing w:line="560" w:lineRule="exact"/>
        <w:ind w:firstLine="643" w:firstLineChars="200"/>
        <w:rPr>
          <w:rFonts w:hint="eastAsia" w:ascii="仿宋_GB2312" w:hAnsi="仿宋" w:eastAsia="仿宋_GB2312" w:cs="宋体"/>
          <w:sz w:val="32"/>
          <w:szCs w:val="32"/>
        </w:rPr>
      </w:pPr>
      <w:r>
        <w:rPr>
          <w:rFonts w:hint="eastAsia" w:ascii="仿宋_GB2312" w:hAnsi="仿宋" w:eastAsia="仿宋_GB2312" w:cs="宋体"/>
          <w:b/>
          <w:sz w:val="32"/>
          <w:szCs w:val="32"/>
        </w:rPr>
        <w:t>指标内容：</w:t>
      </w:r>
      <w:r>
        <w:rPr>
          <w:rFonts w:hint="eastAsia" w:ascii="仿宋_GB2312" w:hAnsi="仿宋" w:eastAsia="仿宋_GB2312" w:cs="宋体"/>
          <w:sz w:val="32"/>
          <w:szCs w:val="32"/>
        </w:rPr>
        <w:t>项目所设定的绩效目标是否依据充分，是否符合客观实际，用以反映和考核项目绩效目标与项目实施的相符情况。</w:t>
      </w:r>
    </w:p>
    <w:p>
      <w:pPr>
        <w:spacing w:line="560" w:lineRule="exact"/>
        <w:ind w:firstLine="643" w:firstLineChars="200"/>
        <w:rPr>
          <w:rFonts w:hint="eastAsia" w:ascii="仿宋_GB2312" w:hAnsi="仿宋" w:eastAsia="仿宋_GB2312" w:cs="宋体"/>
          <w:bCs/>
          <w:sz w:val="32"/>
          <w:szCs w:val="32"/>
        </w:rPr>
      </w:pPr>
      <w:r>
        <w:rPr>
          <w:rFonts w:hint="eastAsia" w:ascii="仿宋_GB2312" w:hAnsi="仿宋" w:eastAsia="仿宋_GB2312" w:cs="宋体"/>
          <w:b/>
          <w:sz w:val="32"/>
          <w:szCs w:val="32"/>
        </w:rPr>
        <w:t>评价分析：</w:t>
      </w:r>
      <w:r>
        <w:rPr>
          <w:rFonts w:hint="eastAsia" w:ascii="仿宋_GB2312" w:hAnsi="仿宋" w:eastAsia="仿宋_GB2312" w:cs="宋体"/>
          <w:bCs/>
          <w:sz w:val="32"/>
          <w:szCs w:val="32"/>
        </w:rPr>
        <w:t>老旧小区改造及公租房项目，通过财政云预算一体化系统查看项目绩效申报，项目绩效目标与实际工作内容不相符，扣1分。</w:t>
      </w:r>
    </w:p>
    <w:p>
      <w:pPr>
        <w:spacing w:line="560" w:lineRule="exact"/>
        <w:ind w:firstLine="643" w:firstLineChars="200"/>
        <w:rPr>
          <w:rFonts w:hint="eastAsia" w:ascii="仿宋_GB2312" w:hAnsi="仿宋" w:eastAsia="仿宋_GB2312"/>
          <w:sz w:val="32"/>
          <w:szCs w:val="32"/>
        </w:rPr>
      </w:pPr>
      <w:r>
        <w:rPr>
          <w:rFonts w:hint="eastAsia" w:ascii="仿宋_GB2312" w:hAnsi="仿宋" w:eastAsia="仿宋_GB2312" w:cs="楷体"/>
          <w:b/>
          <w:sz w:val="32"/>
          <w:szCs w:val="32"/>
        </w:rPr>
        <w:t>评价得分：</w:t>
      </w:r>
      <w:r>
        <w:rPr>
          <w:rFonts w:hint="eastAsia" w:ascii="仿宋_GB2312" w:hAnsi="仿宋" w:eastAsia="仿宋_GB2312"/>
          <w:sz w:val="32"/>
          <w:szCs w:val="32"/>
        </w:rPr>
        <w:t>根据评分标准，指标综合评价得分2分。</w:t>
      </w:r>
    </w:p>
    <w:p>
      <w:pPr>
        <w:spacing w:line="560" w:lineRule="exact"/>
        <w:ind w:firstLine="643" w:firstLineChars="200"/>
        <w:rPr>
          <w:rFonts w:hint="eastAsia" w:ascii="仿宋_GB2312" w:hAnsi="仿宋" w:eastAsia="仿宋_GB2312" w:cs="仿宋"/>
          <w:sz w:val="32"/>
          <w:szCs w:val="32"/>
        </w:rPr>
      </w:pPr>
      <w:r>
        <w:rPr>
          <w:rFonts w:hint="eastAsia" w:ascii="仿宋_GB2312" w:hAnsi="宋体" w:eastAsia="仿宋_GB2312" w:cs="宋体"/>
          <w:b/>
          <w:sz w:val="32"/>
          <w:szCs w:val="32"/>
        </w:rPr>
        <w:t>②</w:t>
      </w:r>
      <w:r>
        <w:rPr>
          <w:rFonts w:hint="eastAsia" w:ascii="仿宋_GB2312" w:hAnsi="仿宋" w:eastAsia="仿宋_GB2312"/>
          <w:b/>
          <w:sz w:val="32"/>
          <w:szCs w:val="32"/>
        </w:rPr>
        <w:t>绩效指标明确性（</w:t>
      </w:r>
      <w:r>
        <w:rPr>
          <w:rFonts w:hint="eastAsia" w:ascii="仿宋_GB2312" w:hAnsi="仿宋" w:eastAsia="仿宋_GB2312" w:cs="宋体"/>
          <w:b/>
          <w:sz w:val="32"/>
          <w:szCs w:val="32"/>
        </w:rPr>
        <w:t>标准分值3分）</w:t>
      </w:r>
    </w:p>
    <w:p>
      <w:pPr>
        <w:spacing w:line="560" w:lineRule="exact"/>
        <w:ind w:firstLine="643" w:firstLineChars="200"/>
        <w:rPr>
          <w:rFonts w:hint="eastAsia" w:ascii="仿宋_GB2312" w:hAnsi="仿宋" w:eastAsia="仿宋_GB2312" w:cs="楷体"/>
          <w:bCs/>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bCs/>
          <w:sz w:val="32"/>
          <w:szCs w:val="32"/>
        </w:rPr>
        <w:t>依据绩效目标设定的绩效指标是否清晰、细化、可衡量等，用以反映和考核项目绩效目标的明细化情况。</w:t>
      </w:r>
    </w:p>
    <w:p>
      <w:pPr>
        <w:spacing w:line="560" w:lineRule="exact"/>
        <w:ind w:firstLine="643" w:firstLineChars="200"/>
        <w:rPr>
          <w:rFonts w:ascii="仿宋_GB2312" w:hAnsi="仿宋" w:eastAsia="仿宋_GB2312"/>
          <w:bCs/>
          <w:sz w:val="32"/>
          <w:szCs w:val="32"/>
          <w:highlight w:val="yellow"/>
        </w:rPr>
      </w:pPr>
      <w:r>
        <w:rPr>
          <w:rFonts w:hint="eastAsia" w:ascii="仿宋_GB2312" w:hAnsi="仿宋" w:eastAsia="仿宋_GB2312"/>
          <w:b/>
          <w:sz w:val="32"/>
          <w:szCs w:val="32"/>
        </w:rPr>
        <w:t>评价分析：</w:t>
      </w:r>
      <w:r>
        <w:rPr>
          <w:rFonts w:hint="eastAsia" w:ascii="仿宋_GB2312" w:hAnsi="仿宋" w:eastAsia="仿宋_GB2312"/>
          <w:bCs/>
          <w:sz w:val="32"/>
          <w:szCs w:val="32"/>
        </w:rPr>
        <w:t>绩效指标设置不全面，未设置产出指标及满意度指标，未将项目绩效目标细化分解为具体的绩效指标，扣1分；绩效目标设置不合理，在经济效益指标中设置为改造小区个数、改造户数、小区改造面积，且与实际建设内容不符，指标内容不清晰、不可衡量。扣1分。</w:t>
      </w:r>
    </w:p>
    <w:p>
      <w:pPr>
        <w:spacing w:line="560" w:lineRule="exact"/>
        <w:ind w:firstLine="643" w:firstLineChars="200"/>
        <w:rPr>
          <w:rFonts w:ascii="仿宋_GB2312" w:hAnsi="仿宋" w:eastAsia="仿宋_GB2312"/>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w:t>
      </w:r>
      <w:r>
        <w:rPr>
          <w:rFonts w:hint="eastAsia" w:ascii="仿宋_GB2312" w:hAnsi="仿宋" w:eastAsia="仿宋_GB2312"/>
          <w:sz w:val="32"/>
          <w:szCs w:val="32"/>
        </w:rPr>
        <w:t>指标综合评价得分1分。</w:t>
      </w:r>
    </w:p>
    <w:p>
      <w:pPr>
        <w:spacing w:line="560" w:lineRule="exact"/>
        <w:ind w:firstLine="562"/>
        <w:rPr>
          <w:rFonts w:ascii="仿宋_GB2312" w:hAnsi="仿宋" w:eastAsia="仿宋_GB2312" w:cs="楷体"/>
          <w:b/>
          <w:sz w:val="32"/>
          <w:szCs w:val="32"/>
        </w:rPr>
      </w:pPr>
      <w:r>
        <w:rPr>
          <w:rFonts w:hint="eastAsia" w:ascii="仿宋_GB2312" w:hAnsi="仿宋" w:eastAsia="仿宋_GB2312" w:cs="楷体"/>
          <w:b/>
          <w:color w:val="000000"/>
          <w:sz w:val="32"/>
          <w:szCs w:val="32"/>
        </w:rPr>
        <w:t>（3）</w:t>
      </w:r>
      <w:r>
        <w:rPr>
          <w:rFonts w:hint="eastAsia" w:ascii="仿宋_GB2312" w:hAnsi="仿宋" w:eastAsia="仿宋_GB2312" w:cs="楷体"/>
          <w:b/>
          <w:sz w:val="32"/>
          <w:szCs w:val="32"/>
        </w:rPr>
        <w:t>资金投入</w:t>
      </w:r>
    </w:p>
    <w:p>
      <w:pPr>
        <w:spacing w:line="560" w:lineRule="exact"/>
        <w:ind w:firstLine="643" w:firstLineChars="200"/>
        <w:rPr>
          <w:rFonts w:ascii="仿宋_GB2312" w:hAnsi="仿宋" w:eastAsia="仿宋_GB2312" w:cs="仿宋"/>
          <w:sz w:val="32"/>
          <w:szCs w:val="32"/>
        </w:rPr>
      </w:pPr>
      <w:r>
        <w:rPr>
          <w:rFonts w:hint="eastAsia" w:ascii="仿宋_GB2312" w:hAnsi="仿宋" w:eastAsia="仿宋_GB2312"/>
          <w:b/>
          <w:sz w:val="32"/>
          <w:szCs w:val="32"/>
        </w:rPr>
        <w:t>a）预算编制科学性（</w:t>
      </w:r>
      <w:r>
        <w:rPr>
          <w:rFonts w:hint="eastAsia" w:ascii="仿宋_GB2312" w:hAnsi="仿宋" w:eastAsia="仿宋_GB2312" w:cs="宋体"/>
          <w:b/>
          <w:sz w:val="32"/>
          <w:szCs w:val="32"/>
        </w:rPr>
        <w:t>指标标准分值3分）</w:t>
      </w:r>
    </w:p>
    <w:p>
      <w:pPr>
        <w:spacing w:line="560" w:lineRule="exact"/>
        <w:ind w:firstLine="643" w:firstLineChars="200"/>
        <w:rPr>
          <w:rFonts w:ascii="仿宋_GB2312" w:hAnsi="仿宋" w:eastAsia="仿宋_GB2312" w:cs="宋体"/>
          <w:sz w:val="32"/>
          <w:szCs w:val="32"/>
        </w:rPr>
      </w:pPr>
      <w:r>
        <w:rPr>
          <w:rFonts w:hint="eastAsia" w:ascii="仿宋_GB2312" w:hAnsi="仿宋" w:eastAsia="仿宋_GB2312" w:cs="宋体"/>
          <w:b/>
          <w:sz w:val="32"/>
          <w:szCs w:val="32"/>
        </w:rPr>
        <w:t>指标内容：</w:t>
      </w:r>
      <w:r>
        <w:rPr>
          <w:rFonts w:hint="eastAsia" w:ascii="仿宋_GB2312" w:hAnsi="仿宋" w:eastAsia="仿宋_GB2312" w:cs="宋体"/>
          <w:sz w:val="32"/>
          <w:szCs w:val="32"/>
        </w:rPr>
        <w:t>项目预算编制是否经过科学论证、有明确标准，资金额度与年度目标是否相适应，用以反映和考核项目预算编制的科学性、合理性情况。</w:t>
      </w:r>
    </w:p>
    <w:p>
      <w:pPr>
        <w:spacing w:line="560" w:lineRule="exact"/>
        <w:ind w:firstLine="643" w:firstLineChars="200"/>
        <w:rPr>
          <w:rFonts w:ascii="仿宋_GB2312" w:hAnsi="仿宋" w:eastAsia="仿宋_GB2312"/>
          <w:bCs/>
          <w:sz w:val="32"/>
          <w:szCs w:val="32"/>
          <w:highlight w:val="yellow"/>
        </w:rPr>
      </w:pPr>
      <w:r>
        <w:rPr>
          <w:rFonts w:hint="eastAsia" w:ascii="仿宋_GB2312" w:hAnsi="仿宋" w:eastAsia="仿宋_GB2312"/>
          <w:b/>
          <w:sz w:val="32"/>
          <w:szCs w:val="32"/>
        </w:rPr>
        <w:t>评价分析：</w:t>
      </w:r>
      <w:r>
        <w:rPr>
          <w:rFonts w:hint="eastAsia" w:ascii="仿宋_GB2312" w:hAnsi="仿宋" w:eastAsia="仿宋_GB2312"/>
          <w:bCs/>
          <w:sz w:val="32"/>
          <w:szCs w:val="32"/>
        </w:rPr>
        <w:t>通过查看通城县202</w:t>
      </w:r>
      <w:r>
        <w:rPr>
          <w:rFonts w:ascii="仿宋_GB2312" w:hAnsi="仿宋" w:eastAsia="仿宋_GB2312"/>
          <w:bCs/>
          <w:sz w:val="32"/>
          <w:szCs w:val="32"/>
        </w:rPr>
        <w:t>2</w:t>
      </w:r>
      <w:r>
        <w:rPr>
          <w:rFonts w:hint="eastAsia" w:ascii="仿宋_GB2312" w:hAnsi="仿宋" w:eastAsia="仿宋_GB2312"/>
          <w:bCs/>
          <w:sz w:val="32"/>
          <w:szCs w:val="32"/>
        </w:rPr>
        <w:t>年中央补助支持老旧小区改造计划表，单位对涉及改造的小区，涉及户数、涉及楼栋、涉及面积进行预计投资额评估，预算基本合理，与工作量、工作内容相匹配；保障性住房租赁补贴测算根据上年度实际及政策调整后情况确定，预算编制科学。</w:t>
      </w:r>
    </w:p>
    <w:p>
      <w:pPr>
        <w:spacing w:line="560" w:lineRule="exact"/>
        <w:ind w:firstLine="643" w:firstLineChars="200"/>
        <w:rPr>
          <w:rFonts w:ascii="仿宋_GB2312" w:hAnsi="仿宋" w:eastAsia="仿宋_GB2312"/>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预算指标编制基本合理，</w:t>
      </w:r>
      <w:r>
        <w:rPr>
          <w:rFonts w:hint="eastAsia" w:ascii="仿宋_GB2312" w:hAnsi="仿宋" w:eastAsia="仿宋_GB2312"/>
          <w:sz w:val="32"/>
          <w:szCs w:val="32"/>
        </w:rPr>
        <w:t>指标综合得分</w:t>
      </w:r>
      <w:r>
        <w:rPr>
          <w:rFonts w:ascii="仿宋_GB2312" w:hAnsi="仿宋" w:eastAsia="仿宋_GB2312"/>
          <w:sz w:val="32"/>
          <w:szCs w:val="32"/>
        </w:rPr>
        <w:t>3</w:t>
      </w:r>
      <w:r>
        <w:rPr>
          <w:rFonts w:hint="eastAsia" w:ascii="仿宋_GB2312" w:hAnsi="仿宋" w:eastAsia="仿宋_GB2312"/>
          <w:sz w:val="32"/>
          <w:szCs w:val="32"/>
        </w:rPr>
        <w:t>分。</w:t>
      </w:r>
    </w:p>
    <w:p>
      <w:pPr>
        <w:spacing w:line="560" w:lineRule="exact"/>
        <w:ind w:firstLine="643" w:firstLineChars="200"/>
        <w:rPr>
          <w:rFonts w:ascii="仿宋_GB2312" w:hAnsi="仿宋" w:eastAsia="仿宋_GB2312" w:cs="仿宋"/>
          <w:sz w:val="32"/>
          <w:szCs w:val="32"/>
        </w:rPr>
      </w:pPr>
      <w:r>
        <w:rPr>
          <w:rFonts w:hint="eastAsia" w:ascii="仿宋_GB2312" w:hAnsi="仿宋" w:eastAsia="仿宋_GB2312"/>
          <w:b/>
          <w:sz w:val="32"/>
          <w:szCs w:val="32"/>
        </w:rPr>
        <w:t>b）资金分配合理性（</w:t>
      </w:r>
      <w:r>
        <w:rPr>
          <w:rFonts w:hint="eastAsia" w:ascii="仿宋_GB2312" w:hAnsi="仿宋" w:eastAsia="仿宋_GB2312" w:cs="宋体"/>
          <w:b/>
          <w:sz w:val="32"/>
          <w:szCs w:val="32"/>
        </w:rPr>
        <w:t>标准分值2分）</w:t>
      </w:r>
    </w:p>
    <w:p>
      <w:pPr>
        <w:spacing w:line="560" w:lineRule="exact"/>
        <w:ind w:firstLine="643" w:firstLineChars="200"/>
        <w:rPr>
          <w:rFonts w:ascii="仿宋_GB2312" w:hAnsi="仿宋" w:eastAsia="仿宋_GB2312" w:cs="宋体"/>
          <w:sz w:val="32"/>
          <w:szCs w:val="32"/>
        </w:rPr>
      </w:pPr>
      <w:r>
        <w:rPr>
          <w:rFonts w:hint="eastAsia" w:ascii="仿宋_GB2312" w:hAnsi="仿宋" w:eastAsia="仿宋_GB2312" w:cs="宋体"/>
          <w:b/>
          <w:sz w:val="32"/>
          <w:szCs w:val="32"/>
        </w:rPr>
        <w:t>指标内容：</w:t>
      </w:r>
      <w:r>
        <w:rPr>
          <w:rFonts w:hint="eastAsia" w:ascii="仿宋_GB2312" w:hAnsi="仿宋" w:eastAsia="仿宋_GB2312" w:cs="宋体"/>
          <w:sz w:val="32"/>
          <w:szCs w:val="32"/>
        </w:rPr>
        <w:t>项目预算资金分配是否有测算依据，与补助单位或地方实际是否相适应，用以反映和考核项目预算资金分配的科学性、合理性情况。</w:t>
      </w:r>
    </w:p>
    <w:p>
      <w:pPr>
        <w:spacing w:line="560" w:lineRule="exact"/>
        <w:ind w:firstLine="643" w:firstLineChars="200"/>
        <w:rPr>
          <w:rFonts w:ascii="仿宋_GB2312" w:hAnsi="仿宋" w:eastAsia="仿宋_GB2312"/>
          <w:bCs/>
          <w:sz w:val="32"/>
          <w:szCs w:val="32"/>
        </w:rPr>
      </w:pPr>
      <w:r>
        <w:rPr>
          <w:rFonts w:hint="eastAsia" w:ascii="仿宋_GB2312" w:hAnsi="仿宋" w:eastAsia="仿宋_GB2312"/>
          <w:b/>
          <w:sz w:val="32"/>
          <w:szCs w:val="32"/>
        </w:rPr>
        <w:t>评价分析：</w:t>
      </w:r>
      <w:r>
        <w:rPr>
          <w:rFonts w:hint="eastAsia" w:ascii="仿宋_GB2312" w:hAnsi="仿宋" w:eastAsia="仿宋_GB2312"/>
          <w:bCs/>
          <w:sz w:val="32"/>
          <w:szCs w:val="32"/>
        </w:rPr>
        <w:t>每个小区依据具体建设内容工程量初步设计概算，与202</w:t>
      </w:r>
      <w:r>
        <w:rPr>
          <w:rFonts w:ascii="仿宋_GB2312" w:hAnsi="仿宋" w:eastAsia="仿宋_GB2312"/>
          <w:bCs/>
          <w:sz w:val="32"/>
          <w:szCs w:val="32"/>
        </w:rPr>
        <w:t>2</w:t>
      </w:r>
      <w:r>
        <w:rPr>
          <w:rFonts w:hint="eastAsia" w:ascii="仿宋_GB2312" w:hAnsi="仿宋" w:eastAsia="仿宋_GB2312"/>
          <w:bCs/>
          <w:sz w:val="32"/>
          <w:szCs w:val="32"/>
        </w:rPr>
        <w:t>年中央预算内投资计划申报表资金相对应；保障性住房租赁补贴测算依据充分，项目资金预算分配合理，与项目实际相适应。</w:t>
      </w:r>
    </w:p>
    <w:p>
      <w:pPr>
        <w:spacing w:line="560" w:lineRule="exact"/>
        <w:ind w:firstLine="643" w:firstLineChars="200"/>
        <w:rPr>
          <w:rFonts w:ascii="仿宋_GB2312" w:hAnsi="仿宋" w:eastAsia="仿宋_GB2312"/>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资金分配基本合理，</w:t>
      </w:r>
      <w:r>
        <w:rPr>
          <w:rFonts w:hint="eastAsia" w:ascii="仿宋_GB2312" w:hAnsi="仿宋" w:eastAsia="仿宋_GB2312"/>
          <w:sz w:val="32"/>
          <w:szCs w:val="32"/>
        </w:rPr>
        <w:t>指标综合得分2分。</w:t>
      </w:r>
    </w:p>
    <w:p>
      <w:pPr>
        <w:spacing w:line="560" w:lineRule="exact"/>
        <w:ind w:firstLine="643" w:firstLineChars="200"/>
        <w:rPr>
          <w:rFonts w:ascii="仿宋_GB2312" w:hAnsi="仿宋" w:eastAsia="仿宋_GB2312"/>
          <w:sz w:val="32"/>
          <w:szCs w:val="32"/>
        </w:rPr>
      </w:pPr>
      <w:bookmarkStart w:id="13" w:name="_Toc18689"/>
      <w:bookmarkStart w:id="14" w:name="_Toc31307"/>
      <w:bookmarkStart w:id="15" w:name="_Toc13517"/>
      <w:r>
        <w:rPr>
          <w:rFonts w:hint="eastAsia" w:ascii="仿宋_GB2312" w:hAnsi="仿宋" w:eastAsia="仿宋_GB2312"/>
          <w:b/>
          <w:sz w:val="32"/>
          <w:szCs w:val="32"/>
        </w:rPr>
        <w:t>2.</w:t>
      </w:r>
      <w:r>
        <w:rPr>
          <w:rFonts w:hint="eastAsia" w:ascii="仿宋_GB2312" w:hAnsi="仿宋" w:eastAsia="仿宋_GB2312" w:cs="楷体"/>
          <w:b/>
          <w:sz w:val="32"/>
          <w:szCs w:val="32"/>
        </w:rPr>
        <w:t>过程</w:t>
      </w:r>
      <w:bookmarkEnd w:id="13"/>
      <w:r>
        <w:rPr>
          <w:rFonts w:hint="eastAsia" w:ascii="仿宋_GB2312" w:hAnsi="仿宋" w:eastAsia="仿宋_GB2312" w:cs="楷体"/>
          <w:b/>
          <w:sz w:val="32"/>
          <w:szCs w:val="32"/>
        </w:rPr>
        <w:t>分析</w:t>
      </w:r>
      <w:bookmarkEnd w:id="14"/>
      <w:bookmarkEnd w:id="15"/>
    </w:p>
    <w:p>
      <w:pPr>
        <w:spacing w:line="560" w:lineRule="exact"/>
        <w:ind w:firstLine="636" w:firstLineChars="198"/>
        <w:rPr>
          <w:rFonts w:ascii="仿宋_GB2312" w:hAnsi="仿宋" w:eastAsia="仿宋_GB2312"/>
          <w:sz w:val="32"/>
          <w:szCs w:val="32"/>
        </w:rPr>
      </w:pPr>
      <w:r>
        <w:rPr>
          <w:rFonts w:hint="eastAsia" w:ascii="仿宋_GB2312" w:hAnsi="仿宋" w:eastAsia="仿宋_GB2312"/>
          <w:b/>
          <w:sz w:val="32"/>
          <w:szCs w:val="32"/>
        </w:rPr>
        <w:t>（1）</w:t>
      </w:r>
      <w:r>
        <w:rPr>
          <w:rFonts w:hint="eastAsia" w:ascii="仿宋_GB2312" w:hAnsi="仿宋" w:eastAsia="仿宋_GB2312" w:cs="楷体"/>
          <w:b/>
          <w:bCs/>
          <w:sz w:val="32"/>
          <w:szCs w:val="32"/>
        </w:rPr>
        <w:t>资金管理</w:t>
      </w:r>
    </w:p>
    <w:p>
      <w:pPr>
        <w:spacing w:line="560" w:lineRule="exact"/>
        <w:rPr>
          <w:rFonts w:ascii="仿宋_GB2312" w:hAnsi="仿宋" w:eastAsia="仿宋_GB2312"/>
          <w:b/>
          <w:sz w:val="32"/>
          <w:szCs w:val="32"/>
        </w:rPr>
      </w:pPr>
      <w:r>
        <w:rPr>
          <w:rFonts w:hint="eastAsia" w:ascii="仿宋_GB2312" w:hAnsi="仿宋" w:eastAsia="仿宋_GB2312"/>
          <w:sz w:val="32"/>
          <w:szCs w:val="32"/>
        </w:rPr>
        <w:t xml:space="preserve">  </w:t>
      </w:r>
      <w:bookmarkStart w:id="27" w:name="_GoBack"/>
      <w:r>
        <w:rPr>
          <w:rFonts w:hint="eastAsia" w:ascii="仿宋_GB2312" w:hAnsi="仿宋" w:eastAsia="仿宋_GB2312"/>
          <w:sz w:val="32"/>
          <w:szCs w:val="32"/>
        </w:rPr>
        <w:t xml:space="preserve">  </w:t>
      </w:r>
      <w:r>
        <w:rPr>
          <w:rFonts w:hint="eastAsia" w:ascii="仿宋_GB2312" w:hAnsi="仿宋" w:eastAsia="仿宋_GB2312"/>
          <w:b/>
          <w:sz w:val="32"/>
          <w:szCs w:val="32"/>
        </w:rPr>
        <w:t>a）资金到位率 （标准分值3分）</w:t>
      </w:r>
    </w:p>
    <w:p>
      <w:pPr>
        <w:spacing w:line="560" w:lineRule="exact"/>
        <w:ind w:firstLine="320" w:firstLineChars="100"/>
        <w:rPr>
          <w:rFonts w:ascii="仿宋_GB2312" w:hAnsi="仿宋" w:eastAsia="仿宋_GB2312" w:cs="宋体"/>
          <w:sz w:val="32"/>
          <w:szCs w:val="32"/>
        </w:rPr>
      </w:pPr>
      <w:r>
        <w:rPr>
          <w:rFonts w:hint="eastAsia" w:ascii="仿宋_GB2312" w:hAnsi="仿宋" w:eastAsia="仿宋_GB2312" w:cs="宋体"/>
          <w:sz w:val="32"/>
          <w:szCs w:val="32"/>
        </w:rPr>
        <w:t xml:space="preserve">  </w:t>
      </w:r>
      <w:r>
        <w:rPr>
          <w:rFonts w:hint="eastAsia" w:ascii="仿宋_GB2312" w:hAnsi="仿宋" w:eastAsia="仿宋_GB2312" w:cs="宋体"/>
          <w:b/>
          <w:sz w:val="32"/>
          <w:szCs w:val="32"/>
        </w:rPr>
        <w:t>指标内容：</w:t>
      </w:r>
      <w:r>
        <w:rPr>
          <w:rFonts w:hint="eastAsia" w:ascii="仿宋_GB2312" w:hAnsi="仿宋" w:eastAsia="仿宋_GB2312" w:cs="宋体"/>
          <w:sz w:val="32"/>
          <w:szCs w:val="32"/>
        </w:rPr>
        <w:t>实际到位资金与预算资金的比率，用以反映和考核资金落实情况对项目实施的总体保障程度。</w:t>
      </w:r>
    </w:p>
    <w:p>
      <w:pPr>
        <w:spacing w:line="560" w:lineRule="exact"/>
        <w:ind w:firstLine="643" w:firstLineChars="200"/>
        <w:rPr>
          <w:rFonts w:ascii="仿宋_GB2312" w:hAnsi="仿宋" w:eastAsia="仿宋_GB2312"/>
          <w:bCs/>
          <w:sz w:val="32"/>
          <w:szCs w:val="32"/>
        </w:rPr>
      </w:pPr>
      <w:r>
        <w:rPr>
          <w:rFonts w:hint="eastAsia" w:ascii="仿宋_GB2312" w:hAnsi="仿宋" w:eastAsia="仿宋_GB2312"/>
          <w:b/>
          <w:sz w:val="32"/>
          <w:szCs w:val="32"/>
        </w:rPr>
        <w:t>评价分析：</w:t>
      </w:r>
      <w:r>
        <w:rPr>
          <w:rFonts w:hint="eastAsia" w:ascii="仿宋_GB2312" w:hAnsi="仿宋" w:eastAsia="仿宋_GB2312"/>
          <w:bCs/>
          <w:sz w:val="32"/>
          <w:szCs w:val="32"/>
        </w:rPr>
        <w:t>通过查阅凭证，2022年1月第19号凭证，收到2127万元，其中保障性住房租赁补贴126万元；2022年6月第5号凭证，收到238万元。2022年2365万元项目资金全部到位，资金到位率100%。</w:t>
      </w:r>
    </w:p>
    <w:bookmarkEnd w:id="27"/>
    <w:p>
      <w:pPr>
        <w:spacing w:line="560" w:lineRule="exact"/>
        <w:ind w:firstLine="643" w:firstLineChars="200"/>
        <w:rPr>
          <w:rFonts w:ascii="仿宋_GB2312" w:hAnsi="仿宋" w:eastAsia="仿宋_GB2312" w:cs="楷体"/>
          <w:bCs/>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根据评分标准，该项指标综合得分3分。</w:t>
      </w:r>
    </w:p>
    <w:p>
      <w:pPr>
        <w:spacing w:line="560" w:lineRule="exact"/>
        <w:rPr>
          <w:rFonts w:ascii="仿宋_GB2312" w:hAnsi="仿宋" w:eastAsia="仿宋_GB2312"/>
          <w:b/>
          <w:sz w:val="32"/>
          <w:szCs w:val="32"/>
        </w:rPr>
      </w:pPr>
      <w:r>
        <w:rPr>
          <w:rFonts w:hint="eastAsia" w:ascii="仿宋_GB2312" w:hAnsi="仿宋" w:eastAsia="仿宋_GB2312"/>
          <w:sz w:val="32"/>
          <w:szCs w:val="32"/>
        </w:rPr>
        <w:t xml:space="preserve">    </w:t>
      </w:r>
      <w:r>
        <w:rPr>
          <w:rFonts w:hint="eastAsia" w:ascii="仿宋_GB2312" w:hAnsi="仿宋" w:eastAsia="仿宋_GB2312"/>
          <w:b/>
          <w:sz w:val="32"/>
          <w:szCs w:val="32"/>
        </w:rPr>
        <w:t>b）预算执行率（标准分值3分）</w:t>
      </w:r>
    </w:p>
    <w:p>
      <w:pPr>
        <w:spacing w:line="560" w:lineRule="exact"/>
        <w:ind w:firstLine="480"/>
        <w:rPr>
          <w:rFonts w:ascii="仿宋_GB2312" w:hAnsi="仿宋" w:eastAsia="仿宋_GB2312" w:cs="宋体"/>
          <w:sz w:val="32"/>
          <w:szCs w:val="32"/>
        </w:rPr>
      </w:pPr>
      <w:r>
        <w:rPr>
          <w:rFonts w:hint="eastAsia" w:ascii="仿宋_GB2312" w:hAnsi="仿宋" w:eastAsia="仿宋_GB2312" w:cs="宋体"/>
          <w:b/>
          <w:sz w:val="32"/>
          <w:szCs w:val="32"/>
        </w:rPr>
        <w:t>指标内容：</w:t>
      </w:r>
      <w:r>
        <w:rPr>
          <w:rFonts w:hint="eastAsia" w:ascii="仿宋_GB2312" w:hAnsi="仿宋" w:eastAsia="仿宋_GB2312" w:cs="宋体"/>
          <w:sz w:val="32"/>
          <w:szCs w:val="32"/>
        </w:rPr>
        <w:t>项目预算资金是否按照计划执行，用以反映或考核项目预算执行情况。</w:t>
      </w:r>
    </w:p>
    <w:p>
      <w:pPr>
        <w:pStyle w:val="14"/>
        <w:spacing w:line="560" w:lineRule="exact"/>
        <w:ind w:firstLine="643"/>
        <w:rPr>
          <w:rFonts w:ascii="仿宋_GB2312" w:hAnsi="仿宋" w:eastAsia="仿宋_GB2312" w:cs="Times New Roman"/>
          <w:bCs/>
          <w:sz w:val="32"/>
          <w:szCs w:val="32"/>
        </w:rPr>
      </w:pPr>
      <w:r>
        <w:rPr>
          <w:rFonts w:hint="eastAsia" w:ascii="仿宋_GB2312" w:hAnsi="仿宋" w:eastAsia="仿宋_GB2312"/>
          <w:b/>
          <w:sz w:val="32"/>
          <w:szCs w:val="32"/>
        </w:rPr>
        <w:t>评价分析：</w:t>
      </w:r>
      <w:r>
        <w:rPr>
          <w:rFonts w:hint="eastAsia" w:ascii="仿宋_GB2312" w:hAnsi="仿宋" w:eastAsia="仿宋_GB2312"/>
          <w:color w:val="000000"/>
          <w:sz w:val="32"/>
          <w:szCs w:val="32"/>
        </w:rPr>
        <w:t>截止评价日，核查资金支出明细，2022年老旧小区改造项目资金2239万元已全部支出，</w:t>
      </w:r>
      <w:r>
        <w:rPr>
          <w:rFonts w:hint="eastAsia" w:ascii="仿宋_GB2312" w:hAnsi="仿宋" w:eastAsia="仿宋_GB2312"/>
          <w:bCs/>
          <w:sz w:val="32"/>
          <w:szCs w:val="32"/>
        </w:rPr>
        <w:t>保障性住房租赁补贴126万元已支付6</w:t>
      </w:r>
      <w:r>
        <w:rPr>
          <w:rFonts w:ascii="仿宋_GB2312" w:hAnsi="仿宋" w:eastAsia="仿宋_GB2312"/>
          <w:bCs/>
          <w:sz w:val="32"/>
          <w:szCs w:val="32"/>
        </w:rPr>
        <w:t>0.39</w:t>
      </w:r>
      <w:r>
        <w:rPr>
          <w:rFonts w:hint="eastAsia" w:ascii="仿宋_GB2312" w:hAnsi="仿宋" w:eastAsia="仿宋_GB2312"/>
          <w:bCs/>
          <w:sz w:val="32"/>
          <w:szCs w:val="32"/>
        </w:rPr>
        <w:t>万元，</w:t>
      </w:r>
      <w:r>
        <w:rPr>
          <w:rFonts w:hint="eastAsia" w:ascii="仿宋_GB2312" w:hAnsi="仿宋" w:eastAsia="仿宋_GB2312"/>
          <w:color w:val="000000"/>
          <w:sz w:val="32"/>
          <w:szCs w:val="32"/>
        </w:rPr>
        <w:t>预算执行率</w:t>
      </w:r>
      <w:r>
        <w:rPr>
          <w:rFonts w:ascii="仿宋_GB2312" w:hAnsi="仿宋" w:eastAsia="仿宋_GB2312"/>
          <w:color w:val="000000"/>
          <w:sz w:val="32"/>
          <w:szCs w:val="32"/>
        </w:rPr>
        <w:t>52.07</w:t>
      </w:r>
      <w:r>
        <w:rPr>
          <w:rFonts w:hint="eastAsia" w:ascii="仿宋_GB2312" w:hAnsi="仿宋" w:eastAsia="仿宋_GB2312"/>
          <w:color w:val="000000"/>
          <w:sz w:val="32"/>
          <w:szCs w:val="32"/>
        </w:rPr>
        <w:t>%</w:t>
      </w:r>
      <w:r>
        <w:rPr>
          <w:rFonts w:hint="eastAsia" w:ascii="仿宋_GB2312" w:hAnsi="仿宋" w:eastAsia="仿宋_GB2312"/>
          <w:bCs/>
          <w:sz w:val="32"/>
          <w:szCs w:val="32"/>
        </w:rPr>
        <w:t>，扣0</w:t>
      </w:r>
      <w:r>
        <w:rPr>
          <w:rFonts w:ascii="仿宋_GB2312" w:hAnsi="仿宋" w:eastAsia="仿宋_GB2312"/>
          <w:bCs/>
          <w:sz w:val="32"/>
          <w:szCs w:val="32"/>
        </w:rPr>
        <w:t>.72</w:t>
      </w:r>
      <w:r>
        <w:rPr>
          <w:rFonts w:hint="eastAsia" w:ascii="仿宋_GB2312" w:hAnsi="仿宋" w:eastAsia="仿宋_GB2312"/>
          <w:bCs/>
          <w:sz w:val="32"/>
          <w:szCs w:val="32"/>
        </w:rPr>
        <w:t>分。</w:t>
      </w:r>
    </w:p>
    <w:p>
      <w:pPr>
        <w:spacing w:line="560" w:lineRule="exact"/>
        <w:ind w:firstLine="560"/>
        <w:rPr>
          <w:rFonts w:ascii="仿宋_GB2312" w:hAnsi="仿宋" w:eastAsia="仿宋_GB2312"/>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w:t>
      </w:r>
      <w:r>
        <w:rPr>
          <w:rFonts w:hint="eastAsia" w:ascii="仿宋_GB2312" w:hAnsi="仿宋" w:eastAsia="仿宋_GB2312"/>
          <w:sz w:val="32"/>
          <w:szCs w:val="32"/>
        </w:rPr>
        <w:t>该项指标综合得分</w:t>
      </w:r>
      <w:r>
        <w:rPr>
          <w:rFonts w:ascii="仿宋_GB2312" w:hAnsi="仿宋" w:eastAsia="仿宋_GB2312"/>
          <w:sz w:val="32"/>
          <w:szCs w:val="32"/>
        </w:rPr>
        <w:t>2.28</w:t>
      </w:r>
      <w:r>
        <w:rPr>
          <w:rFonts w:hint="eastAsia" w:ascii="仿宋_GB2312" w:hAnsi="仿宋" w:eastAsia="仿宋_GB2312"/>
          <w:sz w:val="32"/>
          <w:szCs w:val="32"/>
        </w:rPr>
        <w:t>分。</w:t>
      </w:r>
    </w:p>
    <w:p>
      <w:pPr>
        <w:spacing w:line="560" w:lineRule="exact"/>
        <w:ind w:firstLine="560"/>
        <w:rPr>
          <w:rFonts w:ascii="仿宋_GB2312" w:hAnsi="仿宋" w:eastAsia="仿宋_GB2312"/>
          <w:b/>
          <w:sz w:val="32"/>
          <w:szCs w:val="32"/>
        </w:rPr>
      </w:pPr>
      <w:r>
        <w:rPr>
          <w:rFonts w:hint="eastAsia" w:ascii="仿宋_GB2312" w:hAnsi="仿宋" w:eastAsia="仿宋_GB2312"/>
          <w:b/>
          <w:sz w:val="32"/>
          <w:szCs w:val="32"/>
        </w:rPr>
        <w:t>c）资金使用合规性（标准分值</w:t>
      </w:r>
      <w:r>
        <w:rPr>
          <w:rFonts w:ascii="仿宋_GB2312" w:hAnsi="仿宋" w:eastAsia="仿宋_GB2312"/>
          <w:b/>
          <w:sz w:val="32"/>
          <w:szCs w:val="32"/>
        </w:rPr>
        <w:t>7</w:t>
      </w:r>
      <w:r>
        <w:rPr>
          <w:rFonts w:hint="eastAsia" w:ascii="仿宋_GB2312" w:hAnsi="仿宋" w:eastAsia="仿宋_GB2312"/>
          <w:b/>
          <w:sz w:val="32"/>
          <w:szCs w:val="32"/>
        </w:rPr>
        <w:t>分）</w:t>
      </w:r>
    </w:p>
    <w:p>
      <w:pPr>
        <w:spacing w:line="560" w:lineRule="exact"/>
        <w:ind w:firstLine="643" w:firstLineChars="200"/>
        <w:rPr>
          <w:rFonts w:ascii="仿宋_GB2312" w:hAnsi="仿宋" w:eastAsia="仿宋_GB2312" w:cs="宋体"/>
          <w:sz w:val="32"/>
          <w:szCs w:val="32"/>
        </w:rPr>
      </w:pPr>
      <w:r>
        <w:rPr>
          <w:rFonts w:hint="eastAsia" w:ascii="仿宋_GB2312" w:hAnsi="仿宋" w:eastAsia="仿宋_GB2312"/>
          <w:b/>
          <w:sz w:val="32"/>
          <w:szCs w:val="32"/>
        </w:rPr>
        <w:t>指标内容：</w:t>
      </w:r>
      <w:r>
        <w:rPr>
          <w:rFonts w:hint="eastAsia" w:ascii="仿宋_GB2312" w:hAnsi="仿宋" w:eastAsia="仿宋_GB2312"/>
          <w:sz w:val="32"/>
          <w:szCs w:val="32"/>
        </w:rPr>
        <w:t>项目资金使用是否符合相关的财务管理制度规定，用以反映和考核项目资金的规范运行情况。</w:t>
      </w:r>
    </w:p>
    <w:p>
      <w:pPr>
        <w:spacing w:line="560" w:lineRule="exact"/>
        <w:ind w:firstLine="643" w:firstLineChars="200"/>
        <w:rPr>
          <w:rFonts w:ascii="仿宋_GB2312" w:hAnsi="仿宋" w:eastAsia="仿宋_GB2312"/>
          <w:bCs/>
          <w:sz w:val="32"/>
          <w:szCs w:val="32"/>
        </w:rPr>
      </w:pPr>
      <w:r>
        <w:rPr>
          <w:rFonts w:hint="eastAsia" w:ascii="仿宋_GB2312" w:hAnsi="仿宋" w:eastAsia="仿宋_GB2312"/>
          <w:b/>
          <w:sz w:val="32"/>
          <w:szCs w:val="32"/>
        </w:rPr>
        <w:t>评价分析：</w:t>
      </w:r>
      <w:r>
        <w:rPr>
          <w:rFonts w:hint="eastAsia" w:ascii="仿宋_GB2312" w:hAnsi="仿宋" w:eastAsia="仿宋_GB2312"/>
          <w:bCs/>
          <w:sz w:val="32"/>
          <w:szCs w:val="32"/>
        </w:rPr>
        <w:t>资金的拨付有完整的审批程序和手续；资金使用符合项目预算批复或合同规定的用途。但未实行专款专户管理，扣1.5分。</w:t>
      </w:r>
    </w:p>
    <w:p>
      <w:pPr>
        <w:spacing w:line="560" w:lineRule="exact"/>
        <w:ind w:firstLine="643" w:firstLineChars="200"/>
        <w:rPr>
          <w:rFonts w:ascii="仿宋_GB2312" w:hAnsi="仿宋" w:eastAsia="仿宋_GB2312"/>
          <w:bCs/>
          <w:sz w:val="32"/>
          <w:szCs w:val="32"/>
        </w:rPr>
      </w:pPr>
      <w:r>
        <w:rPr>
          <w:rFonts w:hint="eastAsia" w:ascii="仿宋_GB2312" w:hAnsi="仿宋" w:eastAsia="仿宋_GB2312"/>
          <w:b/>
          <w:sz w:val="32"/>
          <w:szCs w:val="32"/>
        </w:rPr>
        <w:t>评价得分：</w:t>
      </w:r>
      <w:bookmarkStart w:id="16" w:name="_Hlk142509378"/>
      <w:r>
        <w:rPr>
          <w:rFonts w:hint="eastAsia" w:ascii="仿宋_GB2312" w:hAnsi="仿宋" w:eastAsia="仿宋_GB2312" w:cs="楷体"/>
          <w:bCs/>
          <w:sz w:val="32"/>
          <w:szCs w:val="32"/>
        </w:rPr>
        <w:t>根据评分标准，</w:t>
      </w:r>
      <w:r>
        <w:rPr>
          <w:rFonts w:hint="eastAsia" w:ascii="仿宋_GB2312" w:hAnsi="仿宋" w:eastAsia="仿宋_GB2312"/>
          <w:sz w:val="32"/>
          <w:szCs w:val="32"/>
        </w:rPr>
        <w:t>该项指标综合评价得分</w:t>
      </w:r>
      <w:r>
        <w:rPr>
          <w:rFonts w:ascii="仿宋_GB2312" w:hAnsi="仿宋" w:eastAsia="仿宋_GB2312"/>
          <w:sz w:val="32"/>
          <w:szCs w:val="32"/>
        </w:rPr>
        <w:t>5</w:t>
      </w:r>
      <w:r>
        <w:rPr>
          <w:rFonts w:hint="eastAsia" w:ascii="仿宋_GB2312" w:hAnsi="仿宋" w:eastAsia="仿宋_GB2312"/>
          <w:sz w:val="32"/>
          <w:szCs w:val="32"/>
        </w:rPr>
        <w:t>.5分。</w:t>
      </w:r>
      <w:bookmarkEnd w:id="16"/>
    </w:p>
    <w:p>
      <w:pPr>
        <w:spacing w:line="560" w:lineRule="exact"/>
        <w:ind w:firstLine="643" w:firstLineChars="200"/>
        <w:rPr>
          <w:rFonts w:ascii="仿宋_GB2312" w:hAnsi="仿宋" w:eastAsia="仿宋_GB2312" w:cs="楷体"/>
          <w:b/>
          <w:sz w:val="32"/>
          <w:szCs w:val="32"/>
        </w:rPr>
      </w:pPr>
      <w:r>
        <w:rPr>
          <w:rFonts w:hint="eastAsia" w:ascii="仿宋_GB2312" w:hAnsi="仿宋" w:eastAsia="仿宋_GB2312" w:cs="楷体"/>
          <w:b/>
          <w:sz w:val="32"/>
          <w:szCs w:val="32"/>
        </w:rPr>
        <w:t>（2）组织实施</w:t>
      </w:r>
    </w:p>
    <w:p>
      <w:pPr>
        <w:spacing w:line="56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a）管理制度健全性（标准分值2分）</w:t>
      </w:r>
    </w:p>
    <w:p>
      <w:pPr>
        <w:spacing w:line="560" w:lineRule="exact"/>
        <w:ind w:firstLine="600"/>
        <w:rPr>
          <w:rFonts w:ascii="仿宋_GB2312" w:hAnsi="仿宋" w:eastAsia="仿宋_GB2312" w:cs="宋体"/>
          <w:sz w:val="32"/>
          <w:szCs w:val="32"/>
        </w:rPr>
      </w:pPr>
      <w:r>
        <w:rPr>
          <w:rFonts w:hint="eastAsia" w:ascii="仿宋_GB2312" w:hAnsi="仿宋" w:eastAsia="仿宋_GB2312" w:cs="宋体"/>
          <w:b/>
          <w:sz w:val="32"/>
          <w:szCs w:val="32"/>
        </w:rPr>
        <w:t>指标内容：</w:t>
      </w:r>
      <w:r>
        <w:rPr>
          <w:rFonts w:hint="eastAsia" w:ascii="仿宋_GB2312" w:hAnsi="仿宋" w:eastAsia="仿宋_GB2312" w:cs="宋体"/>
          <w:sz w:val="32"/>
          <w:szCs w:val="32"/>
        </w:rPr>
        <w:t>项目实施单位的财务和业务管理制度是否健全，用以反映和考核财务和业务管理制度对项目顺利实施的保障情况。</w:t>
      </w:r>
    </w:p>
    <w:p>
      <w:pPr>
        <w:spacing w:line="560" w:lineRule="exact"/>
        <w:ind w:firstLine="600"/>
        <w:rPr>
          <w:rFonts w:ascii="仿宋_GB2312" w:hAnsi="仿宋" w:eastAsia="仿宋_GB2312" w:cs="宋体"/>
          <w:b/>
          <w:sz w:val="32"/>
          <w:szCs w:val="32"/>
        </w:rPr>
      </w:pPr>
      <w:r>
        <w:rPr>
          <w:rFonts w:hint="eastAsia" w:ascii="仿宋_GB2312" w:hAnsi="仿宋" w:eastAsia="仿宋_GB2312" w:cs="宋体"/>
          <w:b/>
          <w:sz w:val="32"/>
          <w:szCs w:val="32"/>
        </w:rPr>
        <w:t>评价分析：</w:t>
      </w:r>
      <w:r>
        <w:rPr>
          <w:rFonts w:hint="eastAsia" w:ascii="仿宋_GB2312" w:hAnsi="仿宋" w:eastAsia="仿宋_GB2312"/>
          <w:bCs/>
          <w:sz w:val="32"/>
          <w:szCs w:val="32"/>
        </w:rPr>
        <w:t>印发了《通城县城镇保障性安居工程资金管理办法》的通知，相关业务管理制度齐全；财务和业务管理制度合法、合规、完整。</w:t>
      </w:r>
    </w:p>
    <w:p>
      <w:pPr>
        <w:spacing w:line="560" w:lineRule="exact"/>
        <w:ind w:firstLine="600"/>
        <w:rPr>
          <w:rFonts w:ascii="仿宋_GB2312" w:hAnsi="仿宋" w:eastAsia="仿宋_GB2312"/>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w:t>
      </w:r>
      <w:r>
        <w:rPr>
          <w:rFonts w:hint="eastAsia" w:ascii="仿宋_GB2312" w:hAnsi="仿宋" w:eastAsia="仿宋_GB2312"/>
          <w:sz w:val="32"/>
          <w:szCs w:val="32"/>
        </w:rPr>
        <w:t>该项指标综合得分2分。</w:t>
      </w:r>
    </w:p>
    <w:p>
      <w:pPr>
        <w:spacing w:line="560" w:lineRule="exact"/>
        <w:ind w:left="602"/>
        <w:rPr>
          <w:rFonts w:ascii="仿宋_GB2312" w:hAnsi="仿宋" w:eastAsia="仿宋_GB2312"/>
          <w:b/>
          <w:sz w:val="32"/>
          <w:szCs w:val="32"/>
        </w:rPr>
      </w:pPr>
      <w:r>
        <w:rPr>
          <w:rFonts w:hint="eastAsia" w:ascii="仿宋_GB2312" w:hAnsi="仿宋" w:eastAsia="仿宋_GB2312"/>
          <w:b/>
          <w:sz w:val="32"/>
          <w:szCs w:val="32"/>
        </w:rPr>
        <w:t>b）制度执行有效性（标准分值</w:t>
      </w:r>
      <w:r>
        <w:rPr>
          <w:rFonts w:ascii="仿宋_GB2312" w:hAnsi="仿宋" w:eastAsia="仿宋_GB2312"/>
          <w:b/>
          <w:sz w:val="32"/>
          <w:szCs w:val="32"/>
        </w:rPr>
        <w:t>7</w:t>
      </w:r>
      <w:r>
        <w:rPr>
          <w:rFonts w:hint="eastAsia" w:ascii="仿宋_GB2312" w:hAnsi="仿宋" w:eastAsia="仿宋_GB2312"/>
          <w:b/>
          <w:sz w:val="32"/>
          <w:szCs w:val="32"/>
        </w:rPr>
        <w:t>分）</w:t>
      </w:r>
    </w:p>
    <w:p>
      <w:pPr>
        <w:spacing w:line="560" w:lineRule="exact"/>
        <w:rPr>
          <w:rFonts w:ascii="仿宋_GB2312" w:hAnsi="仿宋" w:eastAsia="仿宋_GB2312" w:cs="宋体"/>
          <w:sz w:val="32"/>
          <w:szCs w:val="32"/>
        </w:rPr>
      </w:pPr>
      <w:r>
        <w:rPr>
          <w:rFonts w:hint="eastAsia" w:ascii="仿宋_GB2312" w:hAnsi="仿宋" w:eastAsia="仿宋_GB2312" w:cs="宋体"/>
          <w:sz w:val="32"/>
          <w:szCs w:val="32"/>
        </w:rPr>
        <w:t xml:space="preserve">   </w:t>
      </w:r>
      <w:r>
        <w:rPr>
          <w:rFonts w:hint="eastAsia" w:ascii="仿宋_GB2312" w:hAnsi="仿宋" w:eastAsia="仿宋_GB2312" w:cs="宋体"/>
          <w:b/>
          <w:sz w:val="32"/>
          <w:szCs w:val="32"/>
        </w:rPr>
        <w:t xml:space="preserve"> 指标内容：</w:t>
      </w:r>
      <w:r>
        <w:rPr>
          <w:rFonts w:hint="eastAsia" w:ascii="仿宋_GB2312" w:hAnsi="仿宋" w:eastAsia="仿宋_GB2312" w:cs="宋体"/>
          <w:sz w:val="32"/>
          <w:szCs w:val="32"/>
        </w:rPr>
        <w:t>项目实施是否符合相关管理规定，用以反映和考核相关管理制度的有效执行情况。</w:t>
      </w:r>
    </w:p>
    <w:p>
      <w:pPr>
        <w:spacing w:line="560" w:lineRule="exact"/>
        <w:ind w:firstLine="600"/>
        <w:rPr>
          <w:rFonts w:hint="eastAsia" w:ascii="仿宋_GB2312" w:hAnsi="仿宋" w:eastAsia="仿宋_GB2312" w:cs="楷体"/>
          <w:b/>
          <w:sz w:val="32"/>
          <w:szCs w:val="32"/>
        </w:rPr>
      </w:pPr>
      <w:bookmarkStart w:id="17" w:name="_Toc651"/>
      <w:bookmarkStart w:id="18" w:name="_Toc7174"/>
      <w:r>
        <w:rPr>
          <w:rFonts w:hint="eastAsia" w:ascii="仿宋_GB2312" w:hAnsi="仿宋" w:eastAsia="仿宋_GB2312" w:cs="楷体"/>
          <w:b/>
          <w:sz w:val="32"/>
          <w:szCs w:val="32"/>
        </w:rPr>
        <w:t>评价分析：</w:t>
      </w:r>
      <w:r>
        <w:rPr>
          <w:rFonts w:hint="eastAsia" w:ascii="仿宋_GB2312" w:hAnsi="仿宋" w:eastAsia="仿宋_GB2312" w:cs="楷体"/>
          <w:bCs/>
          <w:sz w:val="32"/>
          <w:szCs w:val="32"/>
        </w:rPr>
        <w:t>①项目未进行大的调整；查看项目合同书，现场施工照片，项目实施条件到位；但会计核算不规范，采用序时流水账的形式进行记录，未按项目进行分类核算，扣2分；②施工合同约定，施工开工日期:2022年8月19日，工程竣工日期:2023年6月16日，项目截止目前尚未完工，无验收报告，扣2分，综上得3分。</w:t>
      </w:r>
    </w:p>
    <w:p>
      <w:pPr>
        <w:spacing w:line="560" w:lineRule="exact"/>
        <w:ind w:firstLine="600"/>
        <w:rPr>
          <w:rFonts w:hint="eastAsia" w:ascii="仿宋_GB2312" w:hAnsi="仿宋" w:eastAsia="仿宋_GB2312"/>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根据评分标准，指标综合评价得分3分。</w:t>
      </w:r>
    </w:p>
    <w:p>
      <w:pPr>
        <w:spacing w:line="560" w:lineRule="exact"/>
        <w:ind w:firstLine="643" w:firstLineChars="200"/>
        <w:rPr>
          <w:rFonts w:hint="eastAsia" w:ascii="仿宋_GB2312" w:hAnsi="仿宋" w:eastAsia="仿宋_GB2312" w:cs="楷体"/>
          <w:b/>
          <w:bCs/>
          <w:sz w:val="32"/>
          <w:szCs w:val="32"/>
        </w:rPr>
      </w:pPr>
      <w:r>
        <w:rPr>
          <w:rFonts w:hint="eastAsia" w:ascii="仿宋_GB2312" w:hAnsi="仿宋" w:eastAsia="仿宋_GB2312"/>
          <w:b/>
          <w:bCs/>
          <w:sz w:val="32"/>
          <w:szCs w:val="32"/>
        </w:rPr>
        <w:t>3.</w:t>
      </w:r>
      <w:r>
        <w:rPr>
          <w:rFonts w:hint="eastAsia" w:ascii="仿宋_GB2312" w:hAnsi="仿宋" w:eastAsia="仿宋_GB2312" w:cs="楷体"/>
          <w:b/>
          <w:bCs/>
          <w:sz w:val="32"/>
          <w:szCs w:val="32"/>
        </w:rPr>
        <w:t>产出分析</w:t>
      </w:r>
      <w:bookmarkEnd w:id="17"/>
      <w:bookmarkEnd w:id="18"/>
    </w:p>
    <w:p>
      <w:pPr>
        <w:spacing w:line="560" w:lineRule="exact"/>
        <w:ind w:firstLine="615"/>
        <w:rPr>
          <w:rFonts w:hint="eastAsia" w:ascii="仿宋_GB2312" w:hAnsi="仿宋" w:eastAsia="仿宋_GB2312" w:cs="楷体"/>
          <w:b/>
          <w:bCs/>
          <w:sz w:val="32"/>
          <w:szCs w:val="32"/>
        </w:rPr>
      </w:pPr>
      <w:r>
        <w:rPr>
          <w:rFonts w:hint="eastAsia" w:ascii="仿宋_GB2312" w:hAnsi="仿宋" w:eastAsia="仿宋_GB2312" w:cs="楷体"/>
          <w:b/>
          <w:bCs/>
          <w:sz w:val="32"/>
          <w:szCs w:val="32"/>
        </w:rPr>
        <w:t>（1）产出数量</w:t>
      </w:r>
    </w:p>
    <w:p>
      <w:pPr>
        <w:spacing w:line="560" w:lineRule="exact"/>
        <w:ind w:firstLine="615"/>
        <w:rPr>
          <w:rFonts w:hint="eastAsia" w:ascii="仿宋_GB2312" w:hAnsi="仿宋" w:eastAsia="仿宋_GB2312" w:cs="楷体"/>
          <w:b/>
          <w:bCs/>
          <w:sz w:val="32"/>
          <w:szCs w:val="32"/>
        </w:rPr>
      </w:pPr>
      <w:r>
        <w:rPr>
          <w:rFonts w:hint="eastAsia" w:ascii="仿宋_GB2312" w:hAnsi="仿宋" w:eastAsia="仿宋_GB2312" w:cs="楷体"/>
          <w:b/>
          <w:bCs/>
          <w:sz w:val="32"/>
          <w:szCs w:val="32"/>
        </w:rPr>
        <w:t>项目建设完成率（标准分值16分）</w:t>
      </w:r>
    </w:p>
    <w:p>
      <w:pPr>
        <w:spacing w:line="560" w:lineRule="exact"/>
        <w:ind w:firstLine="615"/>
        <w:rPr>
          <w:rFonts w:hint="eastAsia" w:ascii="仿宋_GB2312" w:hAnsi="仿宋" w:eastAsia="仿宋_GB2312" w:cs="楷体"/>
          <w:bCs/>
          <w:sz w:val="32"/>
          <w:szCs w:val="32"/>
        </w:rPr>
      </w:pPr>
      <w:r>
        <w:rPr>
          <w:rFonts w:hint="eastAsia" w:ascii="仿宋_GB2312" w:hAnsi="仿宋" w:eastAsia="仿宋_GB2312" w:cs="楷体"/>
          <w:b/>
          <w:bCs/>
          <w:sz w:val="32"/>
          <w:szCs w:val="32"/>
        </w:rPr>
        <w:t>指标内容：</w:t>
      </w:r>
      <w:r>
        <w:rPr>
          <w:rFonts w:hint="eastAsia" w:ascii="仿宋_GB2312" w:hAnsi="仿宋" w:eastAsia="仿宋_GB2312" w:cs="楷体"/>
          <w:bCs/>
          <w:sz w:val="32"/>
          <w:szCs w:val="32"/>
        </w:rPr>
        <w:t>项目实施的实际产出数与计划产出数的比率，用以反映和考核项目产出数量目标的实现程度。</w:t>
      </w:r>
    </w:p>
    <w:p>
      <w:pPr>
        <w:spacing w:line="560" w:lineRule="exact"/>
        <w:ind w:firstLine="615"/>
        <w:rPr>
          <w:rFonts w:hint="eastAsia" w:ascii="仿宋_GB2312" w:eastAsia="仿宋_GB2312" w:cs="Calibri"/>
          <w:b/>
          <w:sz w:val="32"/>
          <w:szCs w:val="32"/>
        </w:rPr>
      </w:pPr>
      <w:r>
        <w:rPr>
          <w:rFonts w:hint="eastAsia" w:ascii="仿宋_GB2312" w:eastAsia="仿宋_GB2312" w:cs="Calibri"/>
          <w:b/>
          <w:sz w:val="32"/>
          <w:szCs w:val="32"/>
        </w:rPr>
        <w:t>①机动车道改造完成率</w:t>
      </w:r>
      <w:r>
        <w:rPr>
          <w:rFonts w:hint="eastAsia" w:ascii="仿宋_GB2312" w:hAnsi="仿宋" w:eastAsia="仿宋_GB2312" w:cs="楷体"/>
          <w:b/>
          <w:bCs/>
          <w:sz w:val="32"/>
          <w:szCs w:val="32"/>
        </w:rPr>
        <w:t>（标准分值3分）</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计划改造机动车道92586.35平方米，已完成75668.87平方米，改造完成率81.73%。</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根据评分标准，指标综合评价得分2.45分。</w:t>
      </w:r>
    </w:p>
    <w:p>
      <w:pPr>
        <w:spacing w:line="560" w:lineRule="exact"/>
        <w:ind w:firstLine="615"/>
        <w:rPr>
          <w:rFonts w:hint="eastAsia" w:ascii="仿宋_GB2312" w:hAnsi="仿宋" w:eastAsia="仿宋_GB2312" w:cs="楷体"/>
          <w:sz w:val="32"/>
          <w:szCs w:val="32"/>
        </w:rPr>
      </w:pPr>
      <w:r>
        <w:rPr>
          <w:rFonts w:hint="eastAsia" w:ascii="仿宋_GB2312" w:hAnsi="宋体" w:eastAsia="仿宋_GB2312" w:cs="宋体"/>
          <w:b/>
          <w:bCs/>
          <w:sz w:val="32"/>
          <w:szCs w:val="32"/>
        </w:rPr>
        <w:t>②</w:t>
      </w:r>
      <w:r>
        <w:rPr>
          <w:rFonts w:hint="eastAsia" w:ascii="仿宋_GB2312" w:hAnsi="仿宋" w:eastAsia="仿宋_GB2312" w:cs="楷体"/>
          <w:b/>
          <w:bCs/>
          <w:sz w:val="32"/>
          <w:szCs w:val="32"/>
        </w:rPr>
        <w:t>人行步道改造完成率（标准分值3分）</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评价分</w:t>
      </w:r>
      <w:r>
        <w:rPr>
          <w:rFonts w:hint="eastAsia" w:ascii="仿宋_GB2312" w:hAnsi="仿宋" w:eastAsia="仿宋_GB2312" w:cs="楷体"/>
          <w:b/>
          <w:bCs/>
          <w:sz w:val="32"/>
          <w:szCs w:val="32"/>
        </w:rPr>
        <w:t>（标准分值3分）</w:t>
      </w:r>
      <w:r>
        <w:rPr>
          <w:rFonts w:hint="eastAsia" w:ascii="仿宋_GB2312" w:hAnsi="仿宋" w:eastAsia="仿宋_GB2312" w:cs="楷体"/>
          <w:b/>
          <w:sz w:val="32"/>
          <w:szCs w:val="32"/>
        </w:rPr>
        <w:t>析</w:t>
      </w:r>
      <w:r>
        <w:rPr>
          <w:rFonts w:hint="eastAsia" w:ascii="仿宋_GB2312" w:hAnsi="仿宋" w:eastAsia="仿宋_GB2312" w:cs="楷体"/>
          <w:b/>
          <w:bCs/>
          <w:sz w:val="32"/>
          <w:szCs w:val="32"/>
        </w:rPr>
        <w:t>：</w:t>
      </w:r>
      <w:r>
        <w:rPr>
          <w:rFonts w:hint="eastAsia" w:ascii="仿宋_GB2312" w:hAnsi="仿宋" w:eastAsia="仿宋_GB2312" w:cs="楷体"/>
          <w:sz w:val="32"/>
          <w:szCs w:val="32"/>
        </w:rPr>
        <w:t>计划改造人行道10854.51平方米，已完成7953.93平方米，改造完成率73.28%。</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根据评分标准，指标综合评价得分2.2分。</w:t>
      </w:r>
    </w:p>
    <w:p>
      <w:pPr>
        <w:spacing w:line="560" w:lineRule="exact"/>
        <w:ind w:firstLine="615"/>
        <w:rPr>
          <w:rFonts w:hint="eastAsia" w:ascii="仿宋_GB2312" w:hAnsi="仿宋_GB2312" w:eastAsia="仿宋_GB2312" w:cs="仿宋_GB2312"/>
          <w:sz w:val="32"/>
          <w:szCs w:val="32"/>
        </w:rPr>
      </w:pPr>
      <w:r>
        <w:rPr>
          <w:rFonts w:hint="eastAsia" w:ascii="仿宋_GB2312" w:eastAsia="仿宋_GB2312" w:cs="Calibri"/>
          <w:b/>
          <w:bCs/>
          <w:sz w:val="32"/>
          <w:szCs w:val="32"/>
        </w:rPr>
        <w:t>③雨水管道改造完成率</w:t>
      </w:r>
      <w:r>
        <w:rPr>
          <w:rFonts w:hint="eastAsia" w:ascii="仿宋_GB2312" w:hAnsi="仿宋" w:eastAsia="仿宋_GB2312" w:cs="楷体"/>
          <w:b/>
          <w:bCs/>
          <w:sz w:val="32"/>
          <w:szCs w:val="32"/>
        </w:rPr>
        <w:t>（标准分值2分）</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计划改造雨水管道9926米，已完成7757.1米，改造完成率为78.15%。</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根据评分标准，指标综合评价得分1.56分。</w:t>
      </w:r>
    </w:p>
    <w:p>
      <w:pPr>
        <w:spacing w:line="560" w:lineRule="exact"/>
        <w:ind w:firstLine="615"/>
        <w:rPr>
          <w:rFonts w:hint="eastAsia" w:ascii="仿宋_GB2312" w:hAnsi="仿宋" w:eastAsia="仿宋_GB2312" w:cs="仿宋"/>
          <w:sz w:val="32"/>
          <w:szCs w:val="32"/>
        </w:rPr>
      </w:pPr>
      <w:r>
        <w:rPr>
          <w:rFonts w:hint="eastAsia" w:ascii="仿宋_GB2312" w:hAnsi="仿宋" w:eastAsia="仿宋_GB2312" w:cs="仿宋"/>
          <w:b/>
          <w:bCs/>
          <w:sz w:val="32"/>
          <w:szCs w:val="32"/>
        </w:rPr>
        <w:t>④污水管道改造完成率（标准分值2分）</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计划改造污水管道16394.38米，已完成13734.02米，改造完成率为83.77%。</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根据评分标准，指标综合评价得分1.68分。</w:t>
      </w:r>
    </w:p>
    <w:p>
      <w:pPr>
        <w:spacing w:line="560" w:lineRule="exact"/>
        <w:ind w:firstLine="615"/>
        <w:rPr>
          <w:rFonts w:hint="eastAsia" w:ascii="仿宋_GB2312" w:hAnsi="仿宋" w:eastAsia="仿宋_GB2312" w:cs="仿宋"/>
          <w:sz w:val="32"/>
          <w:szCs w:val="32"/>
        </w:rPr>
      </w:pPr>
      <w:r>
        <w:rPr>
          <w:rFonts w:hint="eastAsia" w:ascii="仿宋_GB2312" w:hAnsi="仿宋" w:eastAsia="仿宋_GB2312" w:cs="仿宋"/>
          <w:b/>
          <w:bCs/>
          <w:sz w:val="32"/>
          <w:szCs w:val="32"/>
        </w:rPr>
        <w:t>⑤电力管道改造完成率（标准分值2分）</w:t>
      </w:r>
    </w:p>
    <w:p>
      <w:pPr>
        <w:spacing w:line="560" w:lineRule="exact"/>
        <w:ind w:firstLine="643" w:firstLineChars="200"/>
        <w:rPr>
          <w:rFonts w:hint="eastAsia"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计划改造电力线路13345.8米已完成12294.14米，改造完成率为92.12%。</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bCs/>
          <w:sz w:val="32"/>
          <w:szCs w:val="32"/>
        </w:rPr>
        <w:t>根据评分标准，指标综合评价得分1.84分。</w:t>
      </w:r>
    </w:p>
    <w:p>
      <w:pPr>
        <w:spacing w:line="560" w:lineRule="exact"/>
        <w:ind w:firstLine="615"/>
        <w:rPr>
          <w:rFonts w:hint="eastAsia" w:ascii="仿宋_GB2312" w:hAnsi="仿宋_GB2312" w:eastAsia="仿宋_GB2312" w:cs="仿宋_GB2312"/>
          <w:sz w:val="32"/>
          <w:szCs w:val="32"/>
        </w:rPr>
      </w:pPr>
      <w:r>
        <w:rPr>
          <w:rFonts w:hint="eastAsia" w:ascii="仿宋_GB2312" w:hAnsi="仿宋" w:eastAsia="仿宋_GB2312" w:cs="仿宋"/>
          <w:b/>
          <w:bCs/>
          <w:sz w:val="32"/>
          <w:szCs w:val="32"/>
        </w:rPr>
        <w:t>⑥停车场建设完成率（标准分值2分）</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计划改造停车场停车位583个，已完成454个，改造完成率77.87%。</w:t>
      </w:r>
    </w:p>
    <w:p>
      <w:pPr>
        <w:spacing w:line="560" w:lineRule="exact"/>
        <w:ind w:firstLine="615"/>
        <w:rPr>
          <w:rFonts w:hint="eastAsia" w:ascii="仿宋_GB2312" w:hAnsi="仿宋" w:eastAsia="仿宋_GB2312" w:cs="楷体"/>
          <w:bCs/>
          <w:sz w:val="32"/>
          <w:szCs w:val="32"/>
        </w:rPr>
      </w:pPr>
      <w:r>
        <w:rPr>
          <w:rFonts w:hint="eastAsia" w:ascii="仿宋_GB2312" w:hAnsi="仿宋" w:eastAsia="仿宋_GB2312" w:cs="楷体"/>
          <w:b/>
          <w:bCs/>
          <w:sz w:val="32"/>
          <w:szCs w:val="32"/>
        </w:rPr>
        <w:t>评价得分：</w:t>
      </w:r>
      <w:r>
        <w:rPr>
          <w:rFonts w:hint="eastAsia" w:ascii="仿宋_GB2312" w:hAnsi="仿宋" w:eastAsia="仿宋_GB2312" w:cs="楷体"/>
          <w:bCs/>
          <w:sz w:val="32"/>
          <w:szCs w:val="32"/>
        </w:rPr>
        <w:t>根据评分标准，指标综合评价得分1.56分。</w:t>
      </w:r>
    </w:p>
    <w:p>
      <w:pPr>
        <w:spacing w:line="560" w:lineRule="exact"/>
        <w:ind w:firstLine="615"/>
        <w:rPr>
          <w:rFonts w:hint="eastAsia" w:ascii="仿宋_GB2312" w:hAnsi="仿宋_GB2312" w:eastAsia="仿宋_GB2312" w:cs="仿宋_GB2312"/>
          <w:sz w:val="32"/>
          <w:szCs w:val="32"/>
        </w:rPr>
      </w:pPr>
      <w:r>
        <w:rPr>
          <w:rFonts w:hint="eastAsia" w:ascii="仿宋_GB2312" w:hAnsi="仿宋" w:eastAsia="仿宋_GB2312" w:cs="仿宋"/>
          <w:b/>
          <w:bCs/>
          <w:sz w:val="32"/>
          <w:szCs w:val="32"/>
        </w:rPr>
        <w:t>⑦公租房租赁补贴人数（标准分值2分）</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公租房截止评价日申请补贴有221户，446人，补贴金额已全部发放，补贴完成率100%。</w:t>
      </w:r>
    </w:p>
    <w:p>
      <w:pPr>
        <w:spacing w:line="560" w:lineRule="exact"/>
        <w:ind w:firstLine="615"/>
        <w:rPr>
          <w:rFonts w:hint="eastAsia" w:ascii="仿宋_GB2312" w:hAnsi="仿宋" w:eastAsia="仿宋_GB2312" w:cs="楷体"/>
          <w:bCs/>
          <w:sz w:val="32"/>
          <w:szCs w:val="32"/>
        </w:rPr>
      </w:pPr>
      <w:r>
        <w:rPr>
          <w:rFonts w:hint="eastAsia" w:ascii="仿宋_GB2312" w:hAnsi="仿宋" w:eastAsia="仿宋_GB2312" w:cs="楷体"/>
          <w:b/>
          <w:bCs/>
          <w:sz w:val="32"/>
          <w:szCs w:val="32"/>
        </w:rPr>
        <w:t>评价得分：</w:t>
      </w:r>
      <w:r>
        <w:rPr>
          <w:rFonts w:hint="eastAsia" w:ascii="仿宋_GB2312" w:hAnsi="仿宋" w:eastAsia="仿宋_GB2312" w:cs="楷体"/>
          <w:bCs/>
          <w:sz w:val="32"/>
          <w:szCs w:val="32"/>
        </w:rPr>
        <w:t>根据评分标准，指标综合评价得分2分。</w:t>
      </w:r>
    </w:p>
    <w:p>
      <w:pPr>
        <w:numPr>
          <w:ilvl w:val="0"/>
          <w:numId w:val="1"/>
        </w:numPr>
        <w:spacing w:line="560" w:lineRule="exact"/>
        <w:ind w:firstLine="615"/>
        <w:rPr>
          <w:rFonts w:hint="eastAsia" w:ascii="仿宋_GB2312" w:hAnsi="仿宋" w:eastAsia="仿宋_GB2312" w:cs="楷体"/>
          <w:b/>
          <w:bCs/>
          <w:sz w:val="32"/>
          <w:szCs w:val="32"/>
        </w:rPr>
      </w:pPr>
      <w:r>
        <w:rPr>
          <w:rFonts w:hint="eastAsia" w:ascii="仿宋_GB2312" w:hAnsi="仿宋" w:eastAsia="仿宋_GB2312" w:cs="楷体"/>
          <w:b/>
          <w:bCs/>
          <w:sz w:val="32"/>
          <w:szCs w:val="32"/>
        </w:rPr>
        <w:t>产出质量</w:t>
      </w:r>
    </w:p>
    <w:p>
      <w:pPr>
        <w:spacing w:line="560" w:lineRule="exact"/>
        <w:ind w:firstLine="643" w:firstLineChars="200"/>
        <w:rPr>
          <w:rFonts w:hint="eastAsia" w:ascii="仿宋_GB2312" w:hAnsi="仿宋" w:eastAsia="仿宋_GB2312" w:cs="楷体"/>
          <w:b/>
          <w:bCs/>
          <w:sz w:val="32"/>
          <w:szCs w:val="32"/>
        </w:rPr>
      </w:pPr>
      <w:r>
        <w:rPr>
          <w:rFonts w:hint="eastAsia" w:ascii="仿宋_GB2312" w:hAnsi="仿宋" w:eastAsia="仿宋_GB2312" w:cs="楷体"/>
          <w:b/>
          <w:bCs/>
          <w:sz w:val="32"/>
          <w:szCs w:val="32"/>
        </w:rPr>
        <w:t>验收合格率（标准分值9分）</w:t>
      </w:r>
    </w:p>
    <w:p>
      <w:pPr>
        <w:spacing w:line="560" w:lineRule="exact"/>
        <w:ind w:firstLine="643" w:firstLineChars="200"/>
        <w:rPr>
          <w:rFonts w:hint="eastAsia" w:ascii="仿宋_GB2312" w:hAnsi="仿宋" w:eastAsia="仿宋_GB2312" w:cs="楷体"/>
          <w:sz w:val="32"/>
          <w:szCs w:val="32"/>
        </w:rPr>
      </w:pPr>
      <w:r>
        <w:rPr>
          <w:rFonts w:hint="eastAsia" w:ascii="仿宋_GB2312" w:hAnsi="仿宋" w:eastAsia="仿宋_GB2312" w:cs="楷体"/>
          <w:b/>
          <w:bCs/>
          <w:sz w:val="32"/>
          <w:szCs w:val="32"/>
        </w:rPr>
        <w:t>指标内容：</w:t>
      </w:r>
      <w:r>
        <w:rPr>
          <w:rFonts w:hint="eastAsia" w:ascii="仿宋_GB2312" w:hAnsi="仿宋" w:eastAsia="仿宋_GB2312" w:cs="楷体"/>
          <w:sz w:val="32"/>
          <w:szCs w:val="32"/>
        </w:rPr>
        <w:t>项目完成的质量达标产出数与实际产出数的比率，用以反映和考核项目产出质量目标的实现程度。</w:t>
      </w:r>
    </w:p>
    <w:p>
      <w:pPr>
        <w:spacing w:line="560" w:lineRule="exact"/>
        <w:ind w:firstLine="615"/>
        <w:rPr>
          <w:rFonts w:hint="eastAsia"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根据提供的部分已完成建设内容资料显示，以及现场勘察情况了解，已完成部分现场情况较好，主体工程已完工，但截止目前项目未验收，不能全面考评其产出质量，按80%给分。</w:t>
      </w:r>
    </w:p>
    <w:p>
      <w:pPr>
        <w:spacing w:line="560" w:lineRule="exact"/>
        <w:ind w:firstLine="615"/>
        <w:rPr>
          <w:rFonts w:hint="eastAsia" w:ascii="仿宋_GB2312" w:hAnsi="仿宋" w:eastAsia="仿宋_GB2312" w:cs="楷体"/>
          <w:bCs/>
          <w:sz w:val="32"/>
          <w:szCs w:val="32"/>
        </w:rPr>
      </w:pPr>
      <w:r>
        <w:rPr>
          <w:rFonts w:hint="eastAsia" w:ascii="仿宋_GB2312" w:hAnsi="仿宋" w:eastAsia="仿宋_GB2312" w:cs="楷体"/>
          <w:b/>
          <w:bCs/>
          <w:sz w:val="32"/>
          <w:szCs w:val="32"/>
        </w:rPr>
        <w:t>评价得分：</w:t>
      </w:r>
      <w:r>
        <w:rPr>
          <w:rFonts w:hint="eastAsia" w:ascii="仿宋_GB2312" w:hAnsi="仿宋" w:eastAsia="仿宋_GB2312" w:cs="楷体"/>
          <w:bCs/>
          <w:sz w:val="32"/>
          <w:szCs w:val="32"/>
        </w:rPr>
        <w:t>根据评分标准，该项指标综合评价得分7.2分。</w:t>
      </w:r>
    </w:p>
    <w:p>
      <w:pPr>
        <w:spacing w:line="560" w:lineRule="exact"/>
        <w:ind w:firstLine="615"/>
        <w:rPr>
          <w:rFonts w:hint="eastAsia" w:ascii="仿宋_GB2312" w:hAnsi="仿宋" w:eastAsia="仿宋_GB2312" w:cs="楷体"/>
          <w:b/>
          <w:bCs/>
          <w:sz w:val="32"/>
          <w:szCs w:val="32"/>
        </w:rPr>
      </w:pPr>
      <w:r>
        <w:rPr>
          <w:rFonts w:hint="eastAsia" w:ascii="仿宋_GB2312" w:hAnsi="仿宋" w:eastAsia="仿宋_GB2312" w:cs="楷体"/>
          <w:b/>
          <w:bCs/>
          <w:sz w:val="32"/>
          <w:szCs w:val="32"/>
        </w:rPr>
        <w:t>（3）产出时效</w:t>
      </w:r>
    </w:p>
    <w:p>
      <w:pPr>
        <w:spacing w:line="560" w:lineRule="exact"/>
        <w:ind w:firstLine="615"/>
        <w:rPr>
          <w:rFonts w:hint="eastAsia" w:ascii="仿宋_GB2312" w:hAnsi="仿宋" w:eastAsia="仿宋_GB2312" w:cs="楷体"/>
          <w:b/>
          <w:bCs/>
          <w:sz w:val="32"/>
          <w:szCs w:val="32"/>
        </w:rPr>
      </w:pPr>
      <w:r>
        <w:rPr>
          <w:rFonts w:hint="eastAsia" w:ascii="仿宋_GB2312" w:hAnsi="仿宋" w:eastAsia="仿宋_GB2312" w:cs="楷体"/>
          <w:b/>
          <w:bCs/>
          <w:sz w:val="32"/>
          <w:szCs w:val="32"/>
        </w:rPr>
        <w:t>项目完成及时性（标准分值6分）</w:t>
      </w:r>
    </w:p>
    <w:p>
      <w:pPr>
        <w:spacing w:line="560" w:lineRule="exact"/>
        <w:ind w:firstLine="615"/>
        <w:rPr>
          <w:rFonts w:hint="eastAsia" w:ascii="仿宋_GB2312" w:hAnsi="仿宋" w:eastAsia="仿宋_GB2312" w:cs="楷体"/>
          <w:bCs/>
          <w:sz w:val="32"/>
          <w:szCs w:val="32"/>
        </w:rPr>
      </w:pPr>
      <w:r>
        <w:rPr>
          <w:rFonts w:hint="eastAsia" w:ascii="仿宋_GB2312" w:hAnsi="仿宋" w:eastAsia="仿宋_GB2312" w:cs="楷体"/>
          <w:b/>
          <w:bCs/>
          <w:sz w:val="32"/>
          <w:szCs w:val="32"/>
        </w:rPr>
        <w:t>指标内容：</w:t>
      </w:r>
      <w:r>
        <w:rPr>
          <w:rFonts w:hint="eastAsia" w:ascii="仿宋_GB2312" w:hAnsi="仿宋" w:eastAsia="仿宋_GB2312" w:cs="楷体"/>
          <w:bCs/>
          <w:sz w:val="32"/>
          <w:szCs w:val="32"/>
        </w:rPr>
        <w:t>项目实际完成时间与计划完成时间的比较，用以反映和考核项目产出时效目标的实现程度。</w:t>
      </w:r>
    </w:p>
    <w:p>
      <w:pPr>
        <w:pStyle w:val="16"/>
        <w:numPr>
          <w:ilvl w:val="0"/>
          <w:numId w:val="2"/>
        </w:numPr>
        <w:spacing w:line="560" w:lineRule="exact"/>
        <w:ind w:firstLineChars="0"/>
        <w:rPr>
          <w:rFonts w:ascii="仿宋_GB2312" w:hAnsi="仿宋" w:eastAsia="仿宋_GB2312" w:cs="楷体"/>
          <w:b/>
          <w:bCs/>
          <w:sz w:val="32"/>
          <w:szCs w:val="32"/>
        </w:rPr>
      </w:pPr>
      <w:r>
        <w:rPr>
          <w:rFonts w:hint="eastAsia" w:ascii="仿宋_GB2312" w:hAnsi="仿宋" w:eastAsia="仿宋_GB2312" w:cs="楷体"/>
          <w:b/>
          <w:bCs/>
          <w:sz w:val="32"/>
          <w:szCs w:val="32"/>
        </w:rPr>
        <w:t>工程完工及时性（标准分值</w:t>
      </w:r>
      <w:r>
        <w:rPr>
          <w:rFonts w:ascii="仿宋_GB2312" w:hAnsi="仿宋" w:eastAsia="仿宋_GB2312" w:cs="楷体"/>
          <w:b/>
          <w:bCs/>
          <w:sz w:val="32"/>
          <w:szCs w:val="32"/>
        </w:rPr>
        <w:t>3</w:t>
      </w:r>
      <w:r>
        <w:rPr>
          <w:rFonts w:hint="eastAsia" w:ascii="仿宋_GB2312" w:hAnsi="仿宋" w:eastAsia="仿宋_GB2312" w:cs="楷体"/>
          <w:b/>
          <w:bCs/>
          <w:sz w:val="32"/>
          <w:szCs w:val="32"/>
        </w:rPr>
        <w:t>分）</w:t>
      </w:r>
    </w:p>
    <w:p>
      <w:pPr>
        <w:spacing w:line="560" w:lineRule="exact"/>
        <w:ind w:firstLine="615"/>
        <w:rPr>
          <w:rFonts w:ascii="仿宋_GB2312" w:hAnsi="仿宋" w:eastAsia="仿宋_GB2312" w:cs="楷体"/>
          <w:b/>
          <w:bCs/>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通过查看施工合同，合同约定工程开工日期为2022年8月19日，工程竣工日期为2023年6月16日，但截止评价日，改造的12个小区中有3个小区未完工，工程完工及时性为9/12=75%，扣0.75分。</w:t>
      </w:r>
    </w:p>
    <w:p>
      <w:pPr>
        <w:spacing w:line="560" w:lineRule="exact"/>
        <w:ind w:firstLine="615"/>
        <w:rPr>
          <w:rFonts w:ascii="仿宋_GB2312" w:hAnsi="仿宋" w:eastAsia="仿宋_GB2312" w:cs="楷体"/>
          <w:bCs/>
          <w:sz w:val="32"/>
          <w:szCs w:val="32"/>
        </w:rPr>
      </w:pPr>
      <w:r>
        <w:rPr>
          <w:rFonts w:hint="eastAsia" w:ascii="仿宋_GB2312" w:hAnsi="仿宋" w:eastAsia="仿宋_GB2312" w:cs="楷体"/>
          <w:b/>
          <w:bCs/>
          <w:sz w:val="32"/>
          <w:szCs w:val="32"/>
        </w:rPr>
        <w:t>评价得分：</w:t>
      </w:r>
      <w:r>
        <w:rPr>
          <w:rFonts w:hint="eastAsia" w:ascii="仿宋_GB2312" w:hAnsi="仿宋" w:eastAsia="仿宋_GB2312" w:cs="楷体"/>
          <w:bCs/>
          <w:sz w:val="32"/>
          <w:szCs w:val="32"/>
        </w:rPr>
        <w:t>根据评分标准，该项指标综合得分2.25分。</w:t>
      </w:r>
    </w:p>
    <w:p>
      <w:pPr>
        <w:pStyle w:val="16"/>
        <w:numPr>
          <w:ilvl w:val="0"/>
          <w:numId w:val="2"/>
        </w:numPr>
        <w:spacing w:line="560" w:lineRule="exact"/>
        <w:ind w:firstLineChars="0"/>
        <w:rPr>
          <w:rFonts w:ascii="仿宋_GB2312" w:hAnsi="仿宋" w:eastAsia="仿宋_GB2312" w:cs="楷体"/>
          <w:b/>
          <w:bCs/>
          <w:sz w:val="32"/>
          <w:szCs w:val="32"/>
        </w:rPr>
      </w:pPr>
      <w:r>
        <w:rPr>
          <w:rFonts w:hint="eastAsia" w:ascii="仿宋_GB2312" w:hAnsi="仿宋" w:eastAsia="仿宋_GB2312" w:cs="楷体"/>
          <w:b/>
          <w:bCs/>
          <w:sz w:val="32"/>
          <w:szCs w:val="32"/>
        </w:rPr>
        <w:t>公租房租赁补贴发放及时性（标准分值</w:t>
      </w:r>
      <w:r>
        <w:rPr>
          <w:rFonts w:ascii="仿宋_GB2312" w:hAnsi="仿宋" w:eastAsia="仿宋_GB2312" w:cs="楷体"/>
          <w:b/>
          <w:bCs/>
          <w:sz w:val="32"/>
          <w:szCs w:val="32"/>
        </w:rPr>
        <w:t>3</w:t>
      </w:r>
      <w:r>
        <w:rPr>
          <w:rFonts w:hint="eastAsia" w:ascii="仿宋_GB2312" w:hAnsi="仿宋" w:eastAsia="仿宋_GB2312" w:cs="楷体"/>
          <w:b/>
          <w:bCs/>
          <w:sz w:val="32"/>
          <w:szCs w:val="32"/>
        </w:rPr>
        <w:t>分）</w:t>
      </w:r>
    </w:p>
    <w:p>
      <w:pPr>
        <w:spacing w:line="560" w:lineRule="exact"/>
        <w:ind w:firstLine="615"/>
        <w:rPr>
          <w:rFonts w:ascii="仿宋_GB2312" w:hAnsi="仿宋" w:eastAsia="仿宋_GB2312" w:cs="楷体"/>
          <w:b/>
          <w:bCs/>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通过查看补贴发放明细，补贴每季度发放，截止目前补贴发放有221户，446人，发放金额</w:t>
      </w:r>
      <w:r>
        <w:rPr>
          <w:rFonts w:ascii="仿宋_GB2312" w:hAnsi="仿宋" w:eastAsia="仿宋_GB2312" w:cs="楷体"/>
          <w:sz w:val="32"/>
          <w:szCs w:val="32"/>
        </w:rPr>
        <w:t>60.39</w:t>
      </w:r>
      <w:r>
        <w:rPr>
          <w:rFonts w:hint="eastAsia" w:ascii="仿宋_GB2312" w:hAnsi="仿宋" w:eastAsia="仿宋_GB2312" w:cs="楷体"/>
          <w:sz w:val="32"/>
          <w:szCs w:val="32"/>
        </w:rPr>
        <w:t>万元。</w:t>
      </w:r>
    </w:p>
    <w:p>
      <w:pPr>
        <w:spacing w:line="560" w:lineRule="exact"/>
        <w:ind w:firstLine="615"/>
        <w:rPr>
          <w:rFonts w:ascii="仿宋_GB2312" w:hAnsi="仿宋" w:eastAsia="仿宋_GB2312" w:cs="楷体"/>
          <w:bCs/>
          <w:sz w:val="32"/>
          <w:szCs w:val="32"/>
        </w:rPr>
      </w:pPr>
      <w:r>
        <w:rPr>
          <w:rFonts w:hint="eastAsia" w:ascii="仿宋_GB2312" w:hAnsi="仿宋" w:eastAsia="仿宋_GB2312" w:cs="楷体"/>
          <w:b/>
          <w:bCs/>
          <w:sz w:val="32"/>
          <w:szCs w:val="32"/>
        </w:rPr>
        <w:t>评价得分：</w:t>
      </w:r>
      <w:r>
        <w:rPr>
          <w:rFonts w:hint="eastAsia" w:ascii="仿宋_GB2312" w:hAnsi="仿宋" w:eastAsia="仿宋_GB2312" w:cs="楷体"/>
          <w:bCs/>
          <w:sz w:val="32"/>
          <w:szCs w:val="32"/>
        </w:rPr>
        <w:t>根据评分标准，该项指标综合得分</w:t>
      </w:r>
      <w:r>
        <w:rPr>
          <w:rFonts w:ascii="仿宋_GB2312" w:hAnsi="仿宋" w:eastAsia="仿宋_GB2312" w:cs="楷体"/>
          <w:bCs/>
          <w:sz w:val="32"/>
          <w:szCs w:val="32"/>
        </w:rPr>
        <w:t>3</w:t>
      </w:r>
      <w:r>
        <w:rPr>
          <w:rFonts w:hint="eastAsia" w:ascii="仿宋_GB2312" w:hAnsi="仿宋" w:eastAsia="仿宋_GB2312" w:cs="楷体"/>
          <w:bCs/>
          <w:sz w:val="32"/>
          <w:szCs w:val="32"/>
        </w:rPr>
        <w:t>分。</w:t>
      </w:r>
    </w:p>
    <w:p>
      <w:pPr>
        <w:spacing w:line="560" w:lineRule="exact"/>
        <w:ind w:firstLine="615"/>
        <w:rPr>
          <w:rFonts w:ascii="仿宋_GB2312" w:hAnsi="仿宋" w:eastAsia="仿宋_GB2312" w:cs="楷体"/>
          <w:b/>
          <w:bCs/>
          <w:sz w:val="32"/>
          <w:szCs w:val="32"/>
        </w:rPr>
      </w:pPr>
      <w:r>
        <w:rPr>
          <w:rFonts w:hint="eastAsia" w:ascii="仿宋_GB2312" w:hAnsi="仿宋" w:eastAsia="仿宋_GB2312" w:cs="楷体"/>
          <w:b/>
          <w:bCs/>
          <w:sz w:val="32"/>
          <w:szCs w:val="32"/>
        </w:rPr>
        <w:t>（4）产出成本</w:t>
      </w:r>
    </w:p>
    <w:p>
      <w:pPr>
        <w:spacing w:line="560" w:lineRule="exact"/>
        <w:ind w:firstLine="615"/>
        <w:rPr>
          <w:rFonts w:ascii="仿宋_GB2312" w:hAnsi="仿宋" w:eastAsia="仿宋_GB2312" w:cs="楷体"/>
          <w:b/>
          <w:bCs/>
          <w:sz w:val="32"/>
          <w:szCs w:val="32"/>
        </w:rPr>
      </w:pPr>
      <w:r>
        <w:rPr>
          <w:rFonts w:hint="eastAsia" w:ascii="仿宋_GB2312" w:hAnsi="仿宋" w:eastAsia="仿宋_GB2312" w:cs="楷体"/>
          <w:b/>
          <w:bCs/>
          <w:sz w:val="32"/>
          <w:szCs w:val="32"/>
        </w:rPr>
        <w:t>成本节约率（标准分值</w:t>
      </w:r>
      <w:r>
        <w:rPr>
          <w:rFonts w:ascii="仿宋_GB2312" w:hAnsi="仿宋" w:eastAsia="仿宋_GB2312" w:cs="楷体"/>
          <w:b/>
          <w:bCs/>
          <w:sz w:val="32"/>
          <w:szCs w:val="32"/>
        </w:rPr>
        <w:t>6</w:t>
      </w:r>
      <w:r>
        <w:rPr>
          <w:rFonts w:hint="eastAsia" w:ascii="仿宋_GB2312" w:hAnsi="仿宋" w:eastAsia="仿宋_GB2312" w:cs="楷体"/>
          <w:b/>
          <w:bCs/>
          <w:sz w:val="32"/>
          <w:szCs w:val="32"/>
        </w:rPr>
        <w:t>分）</w:t>
      </w:r>
    </w:p>
    <w:p>
      <w:pPr>
        <w:spacing w:line="560" w:lineRule="exact"/>
        <w:ind w:firstLine="615"/>
        <w:rPr>
          <w:rFonts w:ascii="仿宋_GB2312" w:hAnsi="仿宋" w:eastAsia="仿宋_GB2312" w:cs="楷体"/>
          <w:bCs/>
          <w:sz w:val="32"/>
          <w:szCs w:val="32"/>
        </w:rPr>
      </w:pPr>
      <w:r>
        <w:rPr>
          <w:rFonts w:hint="eastAsia" w:ascii="仿宋_GB2312" w:hAnsi="仿宋" w:eastAsia="仿宋_GB2312" w:cs="楷体"/>
          <w:b/>
          <w:bCs/>
          <w:sz w:val="32"/>
          <w:szCs w:val="32"/>
        </w:rPr>
        <w:t>指标内容：</w:t>
      </w:r>
      <w:r>
        <w:rPr>
          <w:rFonts w:hint="eastAsia" w:ascii="仿宋_GB2312" w:hAnsi="仿宋" w:eastAsia="仿宋_GB2312" w:cs="楷体"/>
          <w:bCs/>
          <w:sz w:val="32"/>
          <w:szCs w:val="32"/>
        </w:rPr>
        <w:t>完成项目计划工作目标的实际节约成本与计划成本的比率，用以反映和考核项目的成本节约程度。</w:t>
      </w:r>
    </w:p>
    <w:p>
      <w:pPr>
        <w:spacing w:line="560" w:lineRule="exact"/>
        <w:ind w:firstLine="615"/>
        <w:rPr>
          <w:rFonts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b/>
          <w:bCs/>
          <w:sz w:val="32"/>
          <w:szCs w:val="32"/>
        </w:rPr>
        <w:t>：</w:t>
      </w:r>
      <w:r>
        <w:rPr>
          <w:rFonts w:hint="eastAsia" w:ascii="仿宋_GB2312" w:hAnsi="仿宋" w:eastAsia="仿宋_GB2312" w:cs="楷体"/>
          <w:sz w:val="32"/>
          <w:szCs w:val="32"/>
        </w:rPr>
        <w:t>截止评价日，项目未完工验收，无法评价其产出成本。</w:t>
      </w:r>
    </w:p>
    <w:p>
      <w:pPr>
        <w:spacing w:line="560" w:lineRule="exact"/>
        <w:ind w:firstLine="615"/>
        <w:rPr>
          <w:rFonts w:ascii="仿宋_GB2312" w:hAnsi="仿宋" w:eastAsia="仿宋_GB2312" w:cs="楷体"/>
          <w:bCs/>
          <w:sz w:val="32"/>
          <w:szCs w:val="32"/>
        </w:rPr>
      </w:pPr>
      <w:r>
        <w:rPr>
          <w:rFonts w:hint="eastAsia" w:ascii="仿宋_GB2312" w:hAnsi="仿宋" w:eastAsia="仿宋_GB2312" w:cs="楷体"/>
          <w:b/>
          <w:bCs/>
          <w:sz w:val="32"/>
          <w:szCs w:val="32"/>
        </w:rPr>
        <w:t>评价得分：</w:t>
      </w:r>
      <w:r>
        <w:rPr>
          <w:rFonts w:hint="eastAsia" w:ascii="仿宋_GB2312" w:hAnsi="仿宋" w:eastAsia="仿宋_GB2312" w:cs="楷体"/>
          <w:sz w:val="32"/>
          <w:szCs w:val="32"/>
        </w:rPr>
        <w:t>根据评分标准，该项指标综合得分</w:t>
      </w:r>
      <w:r>
        <w:rPr>
          <w:rFonts w:ascii="仿宋_GB2312" w:hAnsi="仿宋" w:eastAsia="仿宋_GB2312" w:cs="楷体"/>
          <w:sz w:val="32"/>
          <w:szCs w:val="32"/>
        </w:rPr>
        <w:t>3</w:t>
      </w:r>
      <w:r>
        <w:rPr>
          <w:rFonts w:hint="eastAsia" w:ascii="仿宋_GB2312" w:hAnsi="仿宋" w:eastAsia="仿宋_GB2312" w:cs="楷体"/>
          <w:sz w:val="32"/>
          <w:szCs w:val="32"/>
        </w:rPr>
        <w:t>分。</w:t>
      </w:r>
    </w:p>
    <w:p>
      <w:pPr>
        <w:spacing w:line="560" w:lineRule="exact"/>
        <w:ind w:firstLine="612"/>
        <w:rPr>
          <w:rFonts w:ascii="仿宋_GB2312" w:hAnsi="仿宋" w:eastAsia="仿宋_GB2312"/>
          <w:sz w:val="32"/>
          <w:szCs w:val="32"/>
        </w:rPr>
      </w:pPr>
      <w:bookmarkStart w:id="19" w:name="_Toc20210"/>
      <w:bookmarkStart w:id="20" w:name="_Toc32490"/>
      <w:r>
        <w:rPr>
          <w:rFonts w:hint="eastAsia" w:ascii="仿宋_GB2312" w:hAnsi="仿宋" w:eastAsia="仿宋_GB2312" w:cs="楷体"/>
          <w:b/>
          <w:bCs/>
          <w:sz w:val="32"/>
          <w:szCs w:val="32"/>
        </w:rPr>
        <w:t>4.效果分析</w:t>
      </w:r>
      <w:bookmarkEnd w:id="19"/>
      <w:bookmarkEnd w:id="20"/>
    </w:p>
    <w:p>
      <w:pPr>
        <w:spacing w:line="560" w:lineRule="exact"/>
        <w:ind w:firstLine="560"/>
        <w:rPr>
          <w:rFonts w:ascii="仿宋_GB2312" w:hAnsi="仿宋" w:eastAsia="仿宋_GB2312" w:cs="楷体"/>
          <w:b/>
          <w:bCs/>
          <w:sz w:val="32"/>
          <w:szCs w:val="32"/>
        </w:rPr>
      </w:pPr>
      <w:r>
        <w:rPr>
          <w:rFonts w:hint="eastAsia" w:ascii="仿宋_GB2312" w:hAnsi="仿宋" w:eastAsia="仿宋_GB2312" w:cs="楷体"/>
          <w:b/>
          <w:bCs/>
          <w:sz w:val="32"/>
          <w:szCs w:val="32"/>
        </w:rPr>
        <w:t>（1）社会效益（标准分值</w:t>
      </w:r>
      <w:r>
        <w:rPr>
          <w:rFonts w:ascii="仿宋_GB2312" w:hAnsi="仿宋" w:eastAsia="仿宋_GB2312" w:cs="楷体"/>
          <w:b/>
          <w:bCs/>
          <w:sz w:val="32"/>
          <w:szCs w:val="32"/>
        </w:rPr>
        <w:t>8</w:t>
      </w:r>
      <w:r>
        <w:rPr>
          <w:rFonts w:hint="eastAsia" w:ascii="仿宋_GB2312" w:hAnsi="仿宋" w:eastAsia="仿宋_GB2312" w:cs="楷体"/>
          <w:b/>
          <w:bCs/>
          <w:sz w:val="32"/>
          <w:szCs w:val="32"/>
        </w:rPr>
        <w:t>分）</w:t>
      </w:r>
    </w:p>
    <w:p>
      <w:pPr>
        <w:spacing w:line="560" w:lineRule="exact"/>
        <w:ind w:firstLine="560"/>
        <w:rPr>
          <w:rFonts w:ascii="仿宋_GB2312" w:hAnsi="仿宋" w:eastAsia="仿宋_GB2312" w:cs="楷体"/>
          <w:sz w:val="32"/>
          <w:szCs w:val="32"/>
        </w:rPr>
      </w:pPr>
      <w:r>
        <w:rPr>
          <w:rFonts w:hint="eastAsia" w:ascii="仿宋_GB2312" w:hAnsi="仿宋" w:eastAsia="仿宋_GB2312" w:cs="楷体"/>
          <w:b/>
          <w:bCs/>
          <w:sz w:val="32"/>
          <w:szCs w:val="32"/>
        </w:rPr>
        <w:t>指标内容：</w:t>
      </w:r>
      <w:r>
        <w:rPr>
          <w:rFonts w:hint="eastAsia" w:ascii="仿宋_GB2312" w:hAnsi="仿宋" w:eastAsia="仿宋_GB2312" w:cs="楷体"/>
          <w:sz w:val="32"/>
          <w:szCs w:val="32"/>
        </w:rPr>
        <w:t>项目实施，对群众居住环境和生活条件的改善情况，困难家庭住房问题解决情况。</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bCs/>
          <w:sz w:val="32"/>
          <w:szCs w:val="32"/>
        </w:rPr>
        <w:t>评价分析：</w:t>
      </w:r>
      <w:r>
        <w:rPr>
          <w:rFonts w:hint="eastAsia" w:ascii="仿宋_GB2312" w:hAnsi="仿宋" w:eastAsia="仿宋_GB2312" w:cs="楷体"/>
          <w:sz w:val="32"/>
          <w:szCs w:val="32"/>
        </w:rPr>
        <w:t>公租房租赁补贴解决了困难家庭住房难问题；现场查看和调查了解，改造后的老旧小区整体环境有所提升，居民生活条件得到有效改善，可达到项目预期效果，但因项目未完工，效果体现有待以后验证，扣2分。</w:t>
      </w:r>
    </w:p>
    <w:p>
      <w:pPr>
        <w:spacing w:line="560" w:lineRule="exact"/>
        <w:ind w:firstLine="560"/>
        <w:rPr>
          <w:rFonts w:ascii="仿宋_GB2312" w:hAnsi="仿宋" w:eastAsia="仿宋_GB2312"/>
          <w:b/>
          <w:bCs/>
          <w:sz w:val="32"/>
          <w:szCs w:val="32"/>
        </w:rPr>
      </w:pPr>
      <w:r>
        <w:rPr>
          <w:rFonts w:hint="eastAsia" w:ascii="仿宋_GB2312" w:hAnsi="仿宋" w:eastAsia="仿宋_GB2312" w:cs="楷体"/>
          <w:b/>
          <w:bCs/>
          <w:sz w:val="32"/>
          <w:szCs w:val="32"/>
        </w:rPr>
        <w:t>评价得分：</w:t>
      </w:r>
      <w:r>
        <w:rPr>
          <w:rFonts w:hint="eastAsia" w:ascii="仿宋_GB2312" w:hAnsi="仿宋" w:eastAsia="仿宋_GB2312" w:cs="楷体"/>
          <w:bCs/>
          <w:sz w:val="32"/>
          <w:szCs w:val="32"/>
        </w:rPr>
        <w:t>该项指标综合得分6分。</w:t>
      </w:r>
    </w:p>
    <w:p>
      <w:pPr>
        <w:spacing w:line="560" w:lineRule="exact"/>
        <w:ind w:firstLine="560"/>
        <w:rPr>
          <w:rFonts w:ascii="仿宋_GB2312" w:hAnsi="仿宋" w:eastAsia="仿宋_GB2312" w:cs="楷体"/>
          <w:b/>
          <w:bCs/>
          <w:sz w:val="32"/>
          <w:szCs w:val="32"/>
        </w:rPr>
      </w:pPr>
      <w:r>
        <w:rPr>
          <w:rFonts w:hint="eastAsia" w:ascii="仿宋_GB2312" w:hAnsi="仿宋" w:eastAsia="仿宋_GB2312" w:cs="楷体"/>
          <w:b/>
          <w:bCs/>
          <w:sz w:val="32"/>
          <w:szCs w:val="32"/>
        </w:rPr>
        <w:t>（</w:t>
      </w:r>
      <w:r>
        <w:rPr>
          <w:rFonts w:ascii="仿宋_GB2312" w:hAnsi="仿宋" w:eastAsia="仿宋_GB2312" w:cs="楷体"/>
          <w:b/>
          <w:bCs/>
          <w:sz w:val="32"/>
          <w:szCs w:val="32"/>
        </w:rPr>
        <w:t>2</w:t>
      </w:r>
      <w:r>
        <w:rPr>
          <w:rFonts w:hint="eastAsia" w:ascii="仿宋_GB2312" w:hAnsi="仿宋" w:eastAsia="仿宋_GB2312" w:cs="楷体"/>
          <w:b/>
          <w:bCs/>
          <w:sz w:val="32"/>
          <w:szCs w:val="32"/>
        </w:rPr>
        <w:t>）可持续影响（标准分值</w:t>
      </w:r>
      <w:r>
        <w:rPr>
          <w:rFonts w:ascii="仿宋_GB2312" w:hAnsi="仿宋" w:eastAsia="仿宋_GB2312" w:cs="楷体"/>
          <w:b/>
          <w:bCs/>
          <w:sz w:val="32"/>
          <w:szCs w:val="32"/>
        </w:rPr>
        <w:t>8</w:t>
      </w:r>
      <w:r>
        <w:rPr>
          <w:rFonts w:hint="eastAsia" w:ascii="仿宋_GB2312" w:hAnsi="仿宋" w:eastAsia="仿宋_GB2312" w:cs="楷体"/>
          <w:b/>
          <w:bCs/>
          <w:sz w:val="32"/>
          <w:szCs w:val="32"/>
        </w:rPr>
        <w:t>分）</w:t>
      </w:r>
    </w:p>
    <w:p>
      <w:pPr>
        <w:spacing w:line="560" w:lineRule="exact"/>
        <w:ind w:firstLine="560"/>
        <w:rPr>
          <w:rFonts w:ascii="仿宋_GB2312" w:hAnsi="仿宋" w:eastAsia="仿宋_GB2312" w:cs="楷体"/>
          <w:bCs/>
          <w:sz w:val="32"/>
          <w:szCs w:val="32"/>
        </w:rPr>
      </w:pPr>
      <w:r>
        <w:rPr>
          <w:rFonts w:hint="eastAsia" w:ascii="仿宋_GB2312" w:hAnsi="仿宋" w:eastAsia="仿宋_GB2312" w:cs="楷体"/>
          <w:b/>
          <w:bCs/>
          <w:sz w:val="32"/>
          <w:szCs w:val="32"/>
        </w:rPr>
        <w:t>指标内容：</w:t>
      </w:r>
      <w:r>
        <w:rPr>
          <w:rFonts w:hint="eastAsia" w:ascii="仿宋_GB2312" w:hAnsi="仿宋" w:eastAsia="仿宋_GB2312" w:cs="楷体"/>
          <w:bCs/>
          <w:sz w:val="32"/>
          <w:szCs w:val="32"/>
        </w:rPr>
        <w:t>项目实施带来的可持续影响。</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bCs/>
          <w:sz w:val="32"/>
          <w:szCs w:val="32"/>
        </w:rPr>
        <w:t>评价分析：</w:t>
      </w:r>
      <w:r>
        <w:rPr>
          <w:rFonts w:hint="eastAsia" w:ascii="仿宋_GB2312" w:hAnsi="仿宋" w:eastAsia="仿宋_GB2312" w:cs="楷体"/>
          <w:sz w:val="32"/>
          <w:szCs w:val="32"/>
        </w:rPr>
        <w:t>通过调查了解，项目实施改善了小区居民生活环境，提高了居民生活质量，增强了居民的幸福感。</w:t>
      </w:r>
    </w:p>
    <w:p>
      <w:pPr>
        <w:spacing w:line="560" w:lineRule="exact"/>
        <w:ind w:firstLine="643" w:firstLineChars="200"/>
        <w:rPr>
          <w:rFonts w:ascii="仿宋_GB2312" w:hAnsi="仿宋" w:eastAsia="仿宋_GB2312"/>
          <w:b/>
          <w:bCs/>
          <w:sz w:val="32"/>
          <w:szCs w:val="32"/>
        </w:rPr>
      </w:pPr>
      <w:r>
        <w:rPr>
          <w:rFonts w:hint="eastAsia" w:ascii="仿宋_GB2312" w:hAnsi="仿宋" w:eastAsia="仿宋_GB2312" w:cs="楷体"/>
          <w:b/>
          <w:bCs/>
          <w:sz w:val="32"/>
          <w:szCs w:val="32"/>
        </w:rPr>
        <w:t>评价得分：</w:t>
      </w:r>
      <w:r>
        <w:rPr>
          <w:rFonts w:hint="eastAsia" w:ascii="仿宋_GB2312" w:hAnsi="仿宋" w:eastAsia="仿宋_GB2312" w:cs="楷体"/>
          <w:bCs/>
          <w:sz w:val="32"/>
          <w:szCs w:val="32"/>
        </w:rPr>
        <w:t>该项指标综合得分</w:t>
      </w:r>
      <w:r>
        <w:rPr>
          <w:rFonts w:ascii="仿宋_GB2312" w:hAnsi="仿宋" w:eastAsia="仿宋_GB2312" w:cs="楷体"/>
          <w:bCs/>
          <w:sz w:val="32"/>
          <w:szCs w:val="32"/>
        </w:rPr>
        <w:t>8</w:t>
      </w:r>
      <w:r>
        <w:rPr>
          <w:rFonts w:hint="eastAsia" w:ascii="仿宋_GB2312" w:hAnsi="仿宋" w:eastAsia="仿宋_GB2312" w:cs="楷体"/>
          <w:bCs/>
          <w:sz w:val="32"/>
          <w:szCs w:val="32"/>
        </w:rPr>
        <w:t>分。</w:t>
      </w:r>
    </w:p>
    <w:p>
      <w:pPr>
        <w:spacing w:line="560" w:lineRule="exact"/>
        <w:ind w:firstLine="560"/>
        <w:rPr>
          <w:rFonts w:ascii="仿宋_GB2312" w:hAnsi="仿宋" w:eastAsia="仿宋_GB2312" w:cs="楷体"/>
          <w:b/>
          <w:bCs/>
          <w:sz w:val="32"/>
          <w:szCs w:val="32"/>
        </w:rPr>
      </w:pPr>
      <w:r>
        <w:rPr>
          <w:rFonts w:hint="eastAsia" w:ascii="仿宋_GB2312" w:hAnsi="仿宋" w:eastAsia="仿宋_GB2312" w:cs="楷体"/>
          <w:b/>
          <w:bCs/>
          <w:sz w:val="32"/>
          <w:szCs w:val="32"/>
        </w:rPr>
        <w:t>（</w:t>
      </w:r>
      <w:r>
        <w:rPr>
          <w:rFonts w:ascii="仿宋_GB2312" w:hAnsi="仿宋" w:eastAsia="仿宋_GB2312" w:cs="楷体"/>
          <w:b/>
          <w:bCs/>
          <w:sz w:val="32"/>
          <w:szCs w:val="32"/>
        </w:rPr>
        <w:t>3</w:t>
      </w:r>
      <w:r>
        <w:rPr>
          <w:rFonts w:hint="eastAsia" w:ascii="仿宋_GB2312" w:hAnsi="仿宋" w:eastAsia="仿宋_GB2312" w:cs="楷体"/>
          <w:b/>
          <w:bCs/>
          <w:sz w:val="32"/>
          <w:szCs w:val="32"/>
        </w:rPr>
        <w:t>）满意度指标（标准分值</w:t>
      </w:r>
      <w:r>
        <w:rPr>
          <w:rFonts w:ascii="仿宋_GB2312" w:hAnsi="仿宋" w:eastAsia="仿宋_GB2312" w:cs="楷体"/>
          <w:b/>
          <w:bCs/>
          <w:sz w:val="32"/>
          <w:szCs w:val="32"/>
        </w:rPr>
        <w:t>8</w:t>
      </w:r>
      <w:r>
        <w:rPr>
          <w:rFonts w:hint="eastAsia" w:ascii="仿宋_GB2312" w:hAnsi="仿宋" w:eastAsia="仿宋_GB2312" w:cs="楷体"/>
          <w:b/>
          <w:bCs/>
          <w:sz w:val="32"/>
          <w:szCs w:val="32"/>
        </w:rPr>
        <w:t>分）</w:t>
      </w:r>
    </w:p>
    <w:p>
      <w:pPr>
        <w:spacing w:line="560" w:lineRule="exact"/>
        <w:ind w:firstLine="560"/>
        <w:rPr>
          <w:rFonts w:ascii="仿宋_GB2312" w:hAnsi="仿宋" w:eastAsia="仿宋_GB2312" w:cs="楷体"/>
          <w:bCs/>
          <w:sz w:val="32"/>
          <w:szCs w:val="32"/>
        </w:rPr>
      </w:pPr>
      <w:r>
        <w:rPr>
          <w:rFonts w:hint="eastAsia" w:ascii="仿宋_GB2312" w:hAnsi="仿宋" w:eastAsia="仿宋_GB2312" w:cs="楷体"/>
          <w:b/>
          <w:bCs/>
          <w:sz w:val="32"/>
          <w:szCs w:val="32"/>
        </w:rPr>
        <w:t>指标内容：</w:t>
      </w:r>
      <w:r>
        <w:rPr>
          <w:rFonts w:hint="eastAsia" w:ascii="仿宋_GB2312" w:hAnsi="仿宋" w:eastAsia="仿宋_GB2312" w:cs="楷体"/>
          <w:bCs/>
          <w:sz w:val="32"/>
          <w:szCs w:val="32"/>
        </w:rPr>
        <w:t>社会公众或服务对象对项目实施效果的满意程度。</w:t>
      </w:r>
    </w:p>
    <w:p>
      <w:pPr>
        <w:spacing w:line="560" w:lineRule="exact"/>
        <w:ind w:firstLine="560"/>
        <w:rPr>
          <w:rFonts w:ascii="仿宋_GB2312" w:hAnsi="仿宋" w:eastAsia="仿宋_GB2312" w:cs="楷体"/>
          <w:sz w:val="32"/>
          <w:szCs w:val="32"/>
        </w:rPr>
      </w:pPr>
      <w:r>
        <w:rPr>
          <w:rFonts w:hint="eastAsia" w:ascii="仿宋_GB2312" w:hAnsi="仿宋" w:eastAsia="仿宋_GB2312" w:cs="楷体"/>
          <w:b/>
          <w:bCs/>
          <w:sz w:val="32"/>
          <w:szCs w:val="32"/>
        </w:rPr>
        <w:t>评价分析：</w:t>
      </w:r>
      <w:r>
        <w:rPr>
          <w:rFonts w:hint="eastAsia" w:ascii="仿宋_GB2312" w:hAnsi="仿宋" w:eastAsia="仿宋_GB2312" w:cs="楷体"/>
          <w:sz w:val="32"/>
          <w:szCs w:val="32"/>
        </w:rPr>
        <w:t>随机抽查了3个小区，并对2</w:t>
      </w:r>
      <w:r>
        <w:rPr>
          <w:rFonts w:ascii="仿宋_GB2312" w:hAnsi="仿宋" w:eastAsia="仿宋_GB2312" w:cs="楷体"/>
          <w:sz w:val="32"/>
          <w:szCs w:val="32"/>
        </w:rPr>
        <w:t>0</w:t>
      </w:r>
      <w:r>
        <w:rPr>
          <w:rFonts w:hint="eastAsia" w:ascii="仿宋_GB2312" w:hAnsi="仿宋" w:eastAsia="仿宋_GB2312" w:cs="楷体"/>
          <w:sz w:val="32"/>
          <w:szCs w:val="32"/>
        </w:rPr>
        <w:t>户居民进行现场问卷调查，居民满意度98.</w:t>
      </w:r>
      <w:r>
        <w:rPr>
          <w:rFonts w:ascii="仿宋_GB2312" w:hAnsi="仿宋" w:eastAsia="仿宋_GB2312" w:cs="楷体"/>
          <w:sz w:val="32"/>
          <w:szCs w:val="32"/>
        </w:rPr>
        <w:t>75</w:t>
      </w:r>
      <w:r>
        <w:rPr>
          <w:rFonts w:hint="eastAsia" w:ascii="仿宋_GB2312" w:hAnsi="仿宋" w:eastAsia="仿宋_GB2312" w:cs="楷体"/>
          <w:sz w:val="32"/>
          <w:szCs w:val="32"/>
        </w:rPr>
        <w:t>％，超过满意度目标值9</w:t>
      </w:r>
      <w:r>
        <w:rPr>
          <w:rFonts w:ascii="仿宋_GB2312" w:hAnsi="仿宋" w:eastAsia="仿宋_GB2312" w:cs="楷体"/>
          <w:sz w:val="32"/>
          <w:szCs w:val="32"/>
        </w:rPr>
        <w:t>5%</w:t>
      </w:r>
      <w:r>
        <w:rPr>
          <w:rFonts w:hint="eastAsia" w:ascii="仿宋_GB2312" w:hAnsi="仿宋" w:eastAsia="仿宋_GB2312" w:cs="楷体"/>
          <w:sz w:val="32"/>
          <w:szCs w:val="32"/>
        </w:rPr>
        <w:t>。</w:t>
      </w:r>
    </w:p>
    <w:p>
      <w:pPr>
        <w:spacing w:line="560" w:lineRule="exact"/>
        <w:ind w:firstLine="560"/>
        <w:rPr>
          <w:rFonts w:ascii="仿宋_GB2312" w:hAnsi="仿宋" w:eastAsia="仿宋_GB2312"/>
          <w:b/>
          <w:bCs/>
          <w:sz w:val="32"/>
          <w:szCs w:val="32"/>
        </w:rPr>
      </w:pPr>
      <w:r>
        <w:rPr>
          <w:rFonts w:hint="eastAsia" w:ascii="仿宋_GB2312" w:hAnsi="仿宋" w:eastAsia="仿宋_GB2312" w:cs="楷体"/>
          <w:b/>
          <w:bCs/>
          <w:sz w:val="32"/>
          <w:szCs w:val="32"/>
        </w:rPr>
        <w:t>评价得分：</w:t>
      </w:r>
      <w:r>
        <w:rPr>
          <w:rFonts w:hint="eastAsia" w:ascii="仿宋_GB2312" w:hAnsi="仿宋" w:eastAsia="仿宋_GB2312" w:cs="楷体"/>
          <w:bCs/>
          <w:sz w:val="32"/>
          <w:szCs w:val="32"/>
        </w:rPr>
        <w:t>该项指标综合得分</w:t>
      </w:r>
      <w:r>
        <w:rPr>
          <w:rFonts w:ascii="仿宋_GB2312" w:hAnsi="仿宋" w:eastAsia="仿宋_GB2312" w:cs="楷体"/>
          <w:bCs/>
          <w:sz w:val="32"/>
          <w:szCs w:val="32"/>
        </w:rPr>
        <w:t>8</w:t>
      </w:r>
      <w:r>
        <w:rPr>
          <w:rFonts w:hint="eastAsia" w:ascii="仿宋_GB2312" w:hAnsi="仿宋" w:eastAsia="仿宋_GB2312" w:cs="楷体"/>
          <w:bCs/>
          <w:sz w:val="32"/>
          <w:szCs w:val="32"/>
        </w:rPr>
        <w:t>分。</w:t>
      </w:r>
    </w:p>
    <w:p>
      <w:pPr>
        <w:spacing w:line="560" w:lineRule="exact"/>
        <w:ind w:firstLine="643" w:firstLineChars="200"/>
        <w:outlineLvl w:val="2"/>
        <w:rPr>
          <w:rFonts w:ascii="仿宋_GB2312" w:hAnsi="仿宋" w:eastAsia="仿宋_GB2312" w:cs="楷体"/>
          <w:b/>
          <w:bCs/>
          <w:sz w:val="32"/>
          <w:szCs w:val="32"/>
        </w:rPr>
      </w:pPr>
      <w:bookmarkStart w:id="21" w:name="_Toc24645"/>
      <w:bookmarkStart w:id="22" w:name="_Toc143010288"/>
      <w:bookmarkStart w:id="23" w:name="_Toc6034"/>
      <w:bookmarkStart w:id="24" w:name="_Toc4969"/>
      <w:bookmarkStart w:id="25" w:name="_Toc28361"/>
      <w:r>
        <w:rPr>
          <w:rFonts w:hint="eastAsia" w:ascii="仿宋_GB2312" w:hAnsi="仿宋" w:eastAsia="仿宋_GB2312" w:cs="楷体"/>
          <w:b/>
          <w:bCs/>
          <w:sz w:val="32"/>
          <w:szCs w:val="32"/>
        </w:rPr>
        <w:t>5.评价得分与等级</w:t>
      </w:r>
      <w:bookmarkEnd w:id="21"/>
    </w:p>
    <w:p>
      <w:pPr>
        <w:pStyle w:val="2"/>
        <w:tabs>
          <w:tab w:val="left" w:pos="682"/>
        </w:tabs>
        <w:spacing w:line="560" w:lineRule="exact"/>
        <w:ind w:left="0" w:leftChars="0" w:firstLine="640" w:firstLineChars="200"/>
        <w:rPr>
          <w:rFonts w:hint="eastAsia" w:ascii="仿宋_GB2312" w:hAnsi="仿宋" w:eastAsia="仿宋_GB2312" w:cs="仿宋"/>
          <w:sz w:val="32"/>
          <w:szCs w:val="32"/>
        </w:rPr>
      </w:pPr>
      <w:r>
        <w:rPr>
          <w:rFonts w:hint="eastAsia" w:ascii="仿宋_GB2312" w:hAnsi="Times New Roman" w:eastAsia="仿宋_GB2312"/>
          <w:sz w:val="32"/>
          <w:szCs w:val="32"/>
        </w:rPr>
        <w:t>通城县2022年中央财政城镇保障性工程补助资金（央、省专项）项目绩效评价指标设计</w:t>
      </w:r>
      <w:r>
        <w:rPr>
          <w:rFonts w:hint="eastAsia" w:ascii="仿宋_GB2312" w:hAnsi="仿宋" w:eastAsia="仿宋_GB2312" w:cs="仿宋"/>
          <w:sz w:val="32"/>
          <w:szCs w:val="32"/>
        </w:rPr>
        <w:t>总分100分，综合评价得分80.52分，评价等级为“良”。基本指标综合得分及等级如下表：</w:t>
      </w:r>
    </w:p>
    <w:p>
      <w:pPr>
        <w:pStyle w:val="2"/>
        <w:tabs>
          <w:tab w:val="left" w:pos="682"/>
        </w:tabs>
        <w:spacing w:line="560" w:lineRule="exact"/>
        <w:ind w:left="0" w:leftChars="0" w:firstLine="1920" w:firstLineChars="600"/>
        <w:rPr>
          <w:rFonts w:hint="eastAsia" w:ascii="仿宋_GB2312" w:hAnsi="仿宋" w:eastAsia="仿宋_GB2312" w:cs="仿宋"/>
          <w:bCs/>
          <w:sz w:val="32"/>
          <w:szCs w:val="32"/>
        </w:rPr>
      </w:pPr>
      <w:r>
        <w:rPr>
          <w:rFonts w:hint="eastAsia" w:ascii="仿宋_GB2312" w:hAnsi="仿宋" w:eastAsia="仿宋_GB2312" w:cs="仿宋"/>
          <w:bCs/>
          <w:sz w:val="32"/>
          <w:szCs w:val="32"/>
        </w:rPr>
        <w:t>项目绩效基本指标评价得分及等级表</w:t>
      </w:r>
    </w:p>
    <w:tbl>
      <w:tblPr>
        <w:tblStyle w:val="11"/>
        <w:tblW w:w="8769" w:type="dxa"/>
        <w:tblInd w:w="15" w:type="dxa"/>
        <w:tblLayout w:type="fixed"/>
        <w:tblCellMar>
          <w:top w:w="15" w:type="dxa"/>
          <w:left w:w="15" w:type="dxa"/>
          <w:bottom w:w="15" w:type="dxa"/>
          <w:right w:w="15" w:type="dxa"/>
        </w:tblCellMar>
      </w:tblPr>
      <w:tblGrid>
        <w:gridCol w:w="2410"/>
        <w:gridCol w:w="1985"/>
        <w:gridCol w:w="1984"/>
        <w:gridCol w:w="2390"/>
      </w:tblGrid>
      <w:tr>
        <w:tblPrEx>
          <w:tblCellMar>
            <w:top w:w="15" w:type="dxa"/>
            <w:left w:w="15" w:type="dxa"/>
            <w:bottom w:w="15" w:type="dxa"/>
            <w:right w:w="15" w:type="dxa"/>
          </w:tblCellMar>
        </w:tblPrEx>
        <w:trPr>
          <w:trHeight w:val="598" w:hRule="atLeast"/>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b/>
                <w:sz w:val="28"/>
                <w:szCs w:val="28"/>
              </w:rPr>
            </w:pPr>
            <w:r>
              <w:rPr>
                <w:rFonts w:hint="eastAsia" w:ascii="仿宋" w:hAnsi="仿宋" w:eastAsia="仿宋" w:cs="仿宋"/>
                <w:b/>
                <w:kern w:val="0"/>
                <w:sz w:val="28"/>
                <w:szCs w:val="28"/>
              </w:rPr>
              <w:t>一级指标</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b/>
                <w:sz w:val="28"/>
                <w:szCs w:val="28"/>
              </w:rPr>
            </w:pPr>
            <w:r>
              <w:rPr>
                <w:rFonts w:hint="eastAsia" w:ascii="仿宋" w:hAnsi="仿宋" w:eastAsia="仿宋" w:cs="仿宋"/>
                <w:b/>
                <w:kern w:val="0"/>
                <w:sz w:val="28"/>
                <w:szCs w:val="28"/>
              </w:rPr>
              <w:t>标准分值</w:t>
            </w:r>
          </w:p>
        </w:tc>
        <w:tc>
          <w:tcPr>
            <w:tcW w:w="1984"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 w:hAnsi="仿宋" w:eastAsia="仿宋" w:cs="仿宋"/>
                <w:b/>
                <w:sz w:val="28"/>
                <w:szCs w:val="28"/>
              </w:rPr>
            </w:pPr>
            <w:r>
              <w:rPr>
                <w:rFonts w:hint="eastAsia" w:ascii="仿宋" w:hAnsi="仿宋" w:eastAsia="仿宋" w:cs="仿宋"/>
                <w:b/>
                <w:sz w:val="28"/>
                <w:szCs w:val="28"/>
              </w:rPr>
              <w:t>评价得分</w:t>
            </w:r>
          </w:p>
        </w:tc>
        <w:tc>
          <w:tcPr>
            <w:tcW w:w="2390"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ascii="仿宋" w:hAnsi="仿宋" w:eastAsia="仿宋" w:cs="仿宋"/>
                <w:b/>
                <w:sz w:val="28"/>
                <w:szCs w:val="28"/>
              </w:rPr>
            </w:pPr>
            <w:r>
              <w:rPr>
                <w:rFonts w:hint="eastAsia" w:ascii="仿宋" w:hAnsi="仿宋" w:eastAsia="仿宋" w:cs="仿宋"/>
                <w:b/>
                <w:sz w:val="28"/>
                <w:szCs w:val="28"/>
              </w:rPr>
              <w:t>评价等级</w:t>
            </w:r>
          </w:p>
        </w:tc>
      </w:tr>
      <w:tr>
        <w:tblPrEx>
          <w:tblCellMar>
            <w:top w:w="15" w:type="dxa"/>
            <w:left w:w="15" w:type="dxa"/>
            <w:bottom w:w="15" w:type="dxa"/>
            <w:right w:w="15" w:type="dxa"/>
          </w:tblCellMar>
        </w:tblPrEx>
        <w:trPr>
          <w:trHeight w:val="90" w:hRule="atLeast"/>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kern w:val="0"/>
                <w:sz w:val="28"/>
                <w:szCs w:val="28"/>
              </w:rPr>
              <w:t>决策</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kern w:val="0"/>
                <w:sz w:val="28"/>
                <w:szCs w:val="28"/>
              </w:rPr>
              <w:t>17</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sz w:val="28"/>
                <w:szCs w:val="28"/>
              </w:rPr>
              <w:t>14</w:t>
            </w:r>
          </w:p>
        </w:tc>
        <w:tc>
          <w:tcPr>
            <w:tcW w:w="239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sz w:val="28"/>
                <w:szCs w:val="28"/>
              </w:rPr>
              <w:t>良</w:t>
            </w:r>
          </w:p>
        </w:tc>
      </w:tr>
      <w:tr>
        <w:tblPrEx>
          <w:tblCellMar>
            <w:top w:w="15" w:type="dxa"/>
            <w:left w:w="15" w:type="dxa"/>
            <w:bottom w:w="15" w:type="dxa"/>
            <w:right w:w="15" w:type="dxa"/>
          </w:tblCellMar>
        </w:tblPrEx>
        <w:trPr>
          <w:trHeight w:val="374" w:hRule="atLeast"/>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kern w:val="0"/>
                <w:sz w:val="28"/>
                <w:szCs w:val="28"/>
              </w:rPr>
              <w:t>过程</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kern w:val="0"/>
                <w:sz w:val="28"/>
                <w:szCs w:val="28"/>
              </w:rPr>
              <w:t>22</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sz w:val="28"/>
                <w:szCs w:val="28"/>
              </w:rPr>
              <w:t>15.78</w:t>
            </w:r>
          </w:p>
        </w:tc>
        <w:tc>
          <w:tcPr>
            <w:tcW w:w="239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sz w:val="28"/>
                <w:szCs w:val="28"/>
              </w:rPr>
              <w:t>中</w:t>
            </w:r>
          </w:p>
        </w:tc>
      </w:tr>
      <w:tr>
        <w:tblPrEx>
          <w:tblCellMar>
            <w:top w:w="15" w:type="dxa"/>
            <w:left w:w="15" w:type="dxa"/>
            <w:bottom w:w="15" w:type="dxa"/>
            <w:right w:w="15" w:type="dxa"/>
          </w:tblCellMar>
        </w:tblPrEx>
        <w:trPr>
          <w:trHeight w:val="401" w:hRule="atLeast"/>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kern w:val="0"/>
                <w:sz w:val="28"/>
                <w:szCs w:val="28"/>
              </w:rPr>
              <w:t>产出</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sz w:val="28"/>
                <w:szCs w:val="28"/>
              </w:rPr>
              <w:t>37</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sz w:val="28"/>
                <w:szCs w:val="28"/>
              </w:rPr>
              <w:t>28.74</w:t>
            </w:r>
          </w:p>
        </w:tc>
        <w:tc>
          <w:tcPr>
            <w:tcW w:w="239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sz w:val="28"/>
                <w:szCs w:val="28"/>
              </w:rPr>
              <w:t>中</w:t>
            </w:r>
          </w:p>
        </w:tc>
      </w:tr>
      <w:tr>
        <w:tblPrEx>
          <w:tblCellMar>
            <w:top w:w="15" w:type="dxa"/>
            <w:left w:w="15" w:type="dxa"/>
            <w:bottom w:w="15" w:type="dxa"/>
            <w:right w:w="15" w:type="dxa"/>
          </w:tblCellMar>
        </w:tblPrEx>
        <w:trPr>
          <w:trHeight w:val="409" w:hRule="atLeast"/>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kern w:val="0"/>
                <w:sz w:val="28"/>
                <w:szCs w:val="28"/>
              </w:rPr>
              <w:t>效果</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kern w:val="0"/>
                <w:sz w:val="28"/>
                <w:szCs w:val="28"/>
              </w:rPr>
              <w:t>24</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sz w:val="28"/>
                <w:szCs w:val="28"/>
              </w:rPr>
              <w:t>22</w:t>
            </w:r>
          </w:p>
        </w:tc>
        <w:tc>
          <w:tcPr>
            <w:tcW w:w="239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sz w:val="28"/>
                <w:szCs w:val="28"/>
              </w:rPr>
            </w:pPr>
            <w:r>
              <w:rPr>
                <w:rFonts w:hint="eastAsia" w:ascii="仿宋" w:hAnsi="仿宋" w:eastAsia="仿宋" w:cs="仿宋"/>
                <w:sz w:val="28"/>
                <w:szCs w:val="28"/>
              </w:rPr>
              <w:t>优</w:t>
            </w:r>
          </w:p>
        </w:tc>
      </w:tr>
      <w:tr>
        <w:tblPrEx>
          <w:tblCellMar>
            <w:top w:w="15" w:type="dxa"/>
            <w:left w:w="15" w:type="dxa"/>
            <w:bottom w:w="15" w:type="dxa"/>
            <w:right w:w="15" w:type="dxa"/>
          </w:tblCellMar>
        </w:tblPrEx>
        <w:trPr>
          <w:trHeight w:val="375" w:hRule="atLeast"/>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b/>
                <w:sz w:val="28"/>
                <w:szCs w:val="28"/>
              </w:rPr>
            </w:pPr>
            <w:r>
              <w:rPr>
                <w:rFonts w:hint="eastAsia" w:ascii="仿宋" w:hAnsi="仿宋" w:eastAsia="仿宋" w:cs="仿宋"/>
                <w:b/>
                <w:kern w:val="0"/>
                <w:sz w:val="28"/>
                <w:szCs w:val="28"/>
              </w:rPr>
              <w:t>综合得分与等级</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b/>
                <w:sz w:val="28"/>
                <w:szCs w:val="28"/>
              </w:rPr>
            </w:pPr>
            <w:r>
              <w:rPr>
                <w:rFonts w:hint="eastAsia" w:ascii="仿宋" w:hAnsi="仿宋" w:eastAsia="仿宋" w:cs="仿宋"/>
                <w:b/>
                <w:kern w:val="0"/>
                <w:sz w:val="28"/>
                <w:szCs w:val="28"/>
              </w:rPr>
              <w:t>100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b/>
                <w:sz w:val="28"/>
                <w:szCs w:val="28"/>
              </w:rPr>
            </w:pPr>
            <w:r>
              <w:rPr>
                <w:rFonts w:hint="eastAsia" w:ascii="仿宋" w:hAnsi="仿宋" w:eastAsia="仿宋" w:cs="仿宋"/>
                <w:b/>
                <w:sz w:val="28"/>
                <w:szCs w:val="28"/>
              </w:rPr>
              <w:t>80.52</w:t>
            </w:r>
          </w:p>
        </w:tc>
        <w:tc>
          <w:tcPr>
            <w:tcW w:w="2390"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仿宋" w:hAnsi="仿宋" w:eastAsia="仿宋" w:cs="仿宋"/>
                <w:b/>
                <w:sz w:val="28"/>
                <w:szCs w:val="28"/>
              </w:rPr>
            </w:pPr>
            <w:r>
              <w:rPr>
                <w:rFonts w:hint="eastAsia" w:ascii="仿宋" w:hAnsi="仿宋" w:eastAsia="仿宋" w:cs="仿宋"/>
                <w:b/>
                <w:sz w:val="28"/>
                <w:szCs w:val="28"/>
              </w:rPr>
              <w:t>良</w:t>
            </w:r>
          </w:p>
        </w:tc>
      </w:tr>
    </w:tbl>
    <w:p>
      <w:pPr>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（四）其他需说明的问题</w:t>
      </w:r>
      <w:bookmarkEnd w:id="22"/>
      <w:bookmarkEnd w:id="23"/>
      <w:bookmarkEnd w:id="24"/>
      <w:bookmarkEnd w:id="25"/>
    </w:p>
    <w:p>
      <w:pPr>
        <w:spacing w:line="560" w:lineRule="exact"/>
        <w:ind w:firstLine="640" w:firstLineChars="200"/>
        <w:rPr>
          <w:rFonts w:ascii="仿宋_GB2312" w:hAnsi="仿宋" w:eastAsia="仿宋_GB2312"/>
          <w:bCs/>
          <w:sz w:val="32"/>
          <w:szCs w:val="32"/>
        </w:rPr>
      </w:pPr>
      <w:r>
        <w:rPr>
          <w:rFonts w:hint="eastAsia" w:ascii="仿宋_GB2312" w:hAnsi="仿宋" w:eastAsia="仿宋_GB2312" w:cs="楷体"/>
          <w:bCs/>
          <w:sz w:val="32"/>
          <w:szCs w:val="32"/>
        </w:rPr>
        <w:t>1.本次项目评价中存在局限性的说明</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本绩效评价报告的评价分析与评价结论的可靠性一方面取决于项目单位提供资料的合规性、真实性和完整性；同时也取决于评价工作人员对项目的了解程度、专业知识和评价能力的限制，对</w:t>
      </w:r>
      <w:r>
        <w:rPr>
          <w:rFonts w:hint="eastAsia" w:ascii="仿宋_GB2312" w:hAnsi="仿宋" w:eastAsia="仿宋_GB2312"/>
          <w:bCs/>
          <w:sz w:val="32"/>
          <w:szCs w:val="32"/>
        </w:rPr>
        <w:t>指标评价的把握性，一定程度上影响本次绩效评价结论的准确性。</w:t>
      </w:r>
    </w:p>
    <w:p>
      <w:pPr>
        <w:spacing w:line="560" w:lineRule="exact"/>
        <w:rPr>
          <w:rFonts w:ascii="仿宋_GB2312" w:hAnsi="仿宋" w:eastAsia="仿宋_GB2312" w:cs="楷体"/>
          <w:bCs/>
          <w:sz w:val="32"/>
          <w:szCs w:val="32"/>
        </w:rPr>
      </w:pPr>
      <w:r>
        <w:rPr>
          <w:rFonts w:hint="eastAsia" w:ascii="仿宋_GB2312" w:hAnsi="楷体" w:eastAsia="仿宋_GB2312" w:cs="楷体"/>
          <w:bCs/>
          <w:sz w:val="32"/>
          <w:szCs w:val="32"/>
        </w:rPr>
        <w:t xml:space="preserve">  </w:t>
      </w:r>
      <w:r>
        <w:rPr>
          <w:rFonts w:hint="eastAsia" w:ascii="仿宋_GB2312" w:hAnsi="仿宋" w:eastAsia="仿宋_GB2312" w:cs="楷体"/>
          <w:bCs/>
          <w:sz w:val="32"/>
          <w:szCs w:val="32"/>
        </w:rPr>
        <w:t xml:space="preserve">  2.提示报告使用者注意事项的说明</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本绩效评价报告的评价结论和评价意见，仅是针对2022年中央财政城镇保障性工程补助资金（央、省专项）项目绩效目标而进行的，不应视为是对项目单位工作的全面评价，也不应视为是对项目单位财务状况的客观性、公允性发表评审意见。因使用不当而发生的不利事项，与本次执行评价的第三方评价机构和执行评价的工作人员无关。</w:t>
      </w:r>
    </w:p>
    <w:p>
      <w:pPr>
        <w:spacing w:line="560" w:lineRule="exact"/>
        <w:ind w:firstLine="643" w:firstLineChars="200"/>
        <w:outlineLvl w:val="1"/>
        <w:rPr>
          <w:rFonts w:ascii="楷体_GB2312" w:hAnsi="楷体_GB2312" w:eastAsia="楷体_GB2312" w:cs="楷体_GB2312"/>
          <w:b/>
          <w:sz w:val="32"/>
          <w:szCs w:val="32"/>
        </w:rPr>
      </w:pPr>
      <w:bookmarkStart w:id="26" w:name="_Toc143010289"/>
      <w:r>
        <w:rPr>
          <w:rFonts w:hint="eastAsia" w:ascii="楷体_GB2312" w:hAnsi="楷体_GB2312" w:eastAsia="楷体_GB2312" w:cs="楷体_GB2312"/>
          <w:b/>
          <w:sz w:val="32"/>
          <w:szCs w:val="32"/>
        </w:rPr>
        <w:t>（五)其他佐证材料</w:t>
      </w:r>
      <w:bookmarkEnd w:id="26"/>
    </w:p>
    <w:p>
      <w:pPr>
        <w:tabs>
          <w:tab w:val="left" w:pos="10245"/>
        </w:tabs>
        <w:spacing w:line="560" w:lineRule="exact"/>
        <w:ind w:firstLine="6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 2022年中央财政城镇保障性工程补助资金（央、省专项）项目绩效评价指标体系</w:t>
      </w:r>
    </w:p>
    <w:p>
      <w:pPr>
        <w:tabs>
          <w:tab w:val="left" w:pos="10245"/>
        </w:tabs>
        <w:spacing w:line="560" w:lineRule="exact"/>
        <w:ind w:firstLine="600"/>
        <w:rPr>
          <w:rFonts w:ascii="仿宋_GB2312" w:hAnsi="仿宋" w:eastAsia="仿宋_GB2312" w:cs="楷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 2022年中央财政城镇保障性工程补助资金（央、省专项）项目</w:t>
      </w:r>
      <w:r>
        <w:rPr>
          <w:rFonts w:hint="eastAsia" w:ascii="仿宋_GB2312" w:hAnsi="仿宋" w:eastAsia="仿宋_GB2312" w:cs="楷体"/>
          <w:sz w:val="32"/>
          <w:szCs w:val="32"/>
        </w:rPr>
        <w:t>绩效评价得分表</w:t>
      </w:r>
    </w:p>
    <w:p>
      <w:pPr>
        <w:tabs>
          <w:tab w:val="left" w:pos="10245"/>
        </w:tabs>
        <w:spacing w:line="560" w:lineRule="exact"/>
        <w:ind w:firstLine="600"/>
        <w:rPr>
          <w:rFonts w:ascii="仿宋_GB2312" w:hAnsi="仿宋" w:eastAsia="仿宋_GB2312" w:cs="楷体"/>
          <w:sz w:val="32"/>
          <w:szCs w:val="32"/>
        </w:rPr>
      </w:pPr>
      <w:r>
        <w:rPr>
          <w:rFonts w:ascii="仿宋_GB2312" w:hAnsi="仿宋" w:eastAsia="仿宋_GB2312" w:cs="楷体"/>
          <w:sz w:val="32"/>
          <w:szCs w:val="32"/>
        </w:rPr>
        <w:t>3</w:t>
      </w:r>
      <w:r>
        <w:rPr>
          <w:rFonts w:hint="eastAsia" w:ascii="仿宋_GB2312" w:hAnsi="仿宋" w:eastAsia="仿宋_GB2312" w:cs="楷体"/>
          <w:sz w:val="32"/>
          <w:szCs w:val="32"/>
        </w:rPr>
        <w:t>.项目现场勘察记录</w:t>
      </w:r>
    </w:p>
    <w:p>
      <w:pPr>
        <w:tabs>
          <w:tab w:val="left" w:pos="10245"/>
        </w:tabs>
        <w:spacing w:line="560" w:lineRule="exact"/>
        <w:ind w:firstLine="600"/>
        <w:rPr>
          <w:rFonts w:ascii="仿宋_GB2312" w:hAnsi="仿宋" w:eastAsia="仿宋_GB2312" w:cs="楷体"/>
          <w:sz w:val="32"/>
          <w:szCs w:val="32"/>
        </w:rPr>
      </w:pPr>
      <w:r>
        <w:rPr>
          <w:rFonts w:ascii="仿宋_GB2312" w:hAnsi="仿宋" w:eastAsia="仿宋_GB2312" w:cs="楷体"/>
          <w:sz w:val="32"/>
          <w:szCs w:val="32"/>
        </w:rPr>
        <w:t>4</w:t>
      </w:r>
      <w:r>
        <w:rPr>
          <w:rFonts w:hint="eastAsia" w:ascii="仿宋_GB2312" w:hAnsi="仿宋" w:eastAsia="仿宋_GB2312" w:cs="楷体"/>
          <w:sz w:val="32"/>
          <w:szCs w:val="32"/>
        </w:rPr>
        <w:t>.问卷调查结果统计表</w:t>
      </w:r>
    </w:p>
    <w:p>
      <w:pPr>
        <w:tabs>
          <w:tab w:val="left" w:pos="10245"/>
        </w:tabs>
        <w:spacing w:line="560" w:lineRule="exact"/>
        <w:ind w:firstLine="600"/>
        <w:rPr>
          <w:rFonts w:ascii="仿宋_GB2312" w:hAnsi="仿宋" w:eastAsia="仿宋_GB2312" w:cs="楷体"/>
          <w:sz w:val="32"/>
          <w:szCs w:val="32"/>
        </w:rPr>
      </w:pPr>
      <w:r>
        <w:rPr>
          <w:rFonts w:ascii="仿宋_GB2312" w:hAnsi="仿宋" w:eastAsia="仿宋_GB2312" w:cs="楷体"/>
          <w:sz w:val="32"/>
          <w:szCs w:val="32"/>
        </w:rPr>
        <w:t>5</w:t>
      </w:r>
      <w:r>
        <w:rPr>
          <w:rFonts w:hint="eastAsia" w:ascii="仿宋_GB2312" w:hAnsi="仿宋" w:eastAsia="仿宋_GB2312" w:cs="楷体"/>
          <w:sz w:val="32"/>
          <w:szCs w:val="32"/>
        </w:rPr>
        <w:t>.第三方绩效评价工作实施方案</w:t>
      </w:r>
    </w:p>
    <w:p>
      <w:pPr>
        <w:spacing w:line="560" w:lineRule="exact"/>
        <w:ind w:firstLine="640" w:firstLineChars="200"/>
        <w:rPr>
          <w:rFonts w:ascii="仿宋_GB2312" w:hAnsi="Times New Roman" w:eastAsia="仿宋_GB2312"/>
          <w:bCs/>
          <w:sz w:val="32"/>
          <w:szCs w:val="32"/>
        </w:rPr>
      </w:pPr>
    </w:p>
    <w:p>
      <w:pPr>
        <w:spacing w:line="560" w:lineRule="exact"/>
        <w:ind w:firstLine="4480" w:firstLineChars="1400"/>
        <w:rPr>
          <w:rFonts w:ascii="仿宋_GB2312" w:hAnsi="楷体" w:eastAsia="仿宋_GB2312" w:cs="楷体"/>
          <w:sz w:val="32"/>
          <w:szCs w:val="32"/>
        </w:rPr>
      </w:pPr>
    </w:p>
    <w:p>
      <w:pPr>
        <w:spacing w:line="560" w:lineRule="exact"/>
        <w:ind w:firstLine="4480" w:firstLineChars="1400"/>
        <w:rPr>
          <w:rFonts w:ascii="仿宋_GB2312" w:hAnsi="楷体" w:eastAsia="仿宋_GB2312" w:cs="楷体"/>
          <w:sz w:val="32"/>
          <w:szCs w:val="32"/>
        </w:rPr>
      </w:pPr>
      <w:r>
        <w:rPr>
          <w:rFonts w:hint="eastAsia" w:ascii="仿宋_GB2312" w:hAnsi="楷体" w:eastAsia="仿宋_GB2312" w:cs="楷体"/>
          <w:sz w:val="32"/>
          <w:szCs w:val="32"/>
        </w:rPr>
        <w:t>湖北恒信会计师事务有限公司</w:t>
      </w:r>
    </w:p>
    <w:p>
      <w:pPr>
        <w:spacing w:line="560" w:lineRule="exact"/>
        <w:ind w:firstLine="5440" w:firstLineChars="1700"/>
        <w:rPr>
          <w:rFonts w:ascii="仿宋_GB2312" w:hAnsi="楷体" w:eastAsia="仿宋_GB2312" w:cs="楷体"/>
          <w:sz w:val="32"/>
          <w:szCs w:val="32"/>
        </w:rPr>
      </w:pPr>
      <w:r>
        <w:rPr>
          <w:rFonts w:ascii="仿宋_GB2312" w:hAnsi="楷体" w:eastAsia="仿宋_GB2312" w:cs="楷体"/>
          <w:sz w:val="32"/>
          <w:szCs w:val="32"/>
        </w:rPr>
        <w:t>2023</w:t>
      </w:r>
      <w:r>
        <w:rPr>
          <w:rFonts w:hint="eastAsia" w:ascii="仿宋_GB2312" w:hAnsi="楷体" w:eastAsia="仿宋_GB2312" w:cs="楷体"/>
          <w:sz w:val="32"/>
          <w:szCs w:val="32"/>
        </w:rPr>
        <w:t>年9月2</w:t>
      </w:r>
      <w:r>
        <w:rPr>
          <w:rFonts w:ascii="仿宋_GB2312" w:hAnsi="楷体" w:eastAsia="仿宋_GB2312" w:cs="楷体"/>
          <w:sz w:val="32"/>
          <w:szCs w:val="32"/>
        </w:rPr>
        <w:t>8</w:t>
      </w:r>
      <w:r>
        <w:rPr>
          <w:rFonts w:hint="eastAsia" w:ascii="仿宋_GB2312" w:hAnsi="楷体" w:eastAsia="仿宋_GB2312" w:cs="楷体"/>
          <w:sz w:val="32"/>
          <w:szCs w:val="32"/>
        </w:rPr>
        <w:t>日</w:t>
      </w:r>
    </w:p>
    <w:p>
      <w:pPr>
        <w:pStyle w:val="7"/>
        <w:spacing w:line="560" w:lineRule="exact"/>
      </w:pPr>
    </w:p>
    <w:p>
      <w:pPr>
        <w:spacing w:line="560" w:lineRule="exact"/>
      </w:pPr>
    </w:p>
    <w:sectPr>
      <w:pgSz w:w="11906" w:h="16838"/>
      <w:pgMar w:top="2098" w:right="1474" w:bottom="1984" w:left="1587"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w:t>
    </w:r>
    <w:r>
      <w:fldChar w:fldCharType="begin"/>
    </w:r>
    <w:r>
      <w:instrText xml:space="preserve">PAGE   \* MERGEFORMAT</w:instrText>
    </w:r>
    <w:r>
      <w:fldChar w:fldCharType="separate"/>
    </w:r>
    <w:r>
      <w:rPr>
        <w:lang w:val="zh-CN"/>
      </w:rPr>
      <w:t>1</w:t>
    </w:r>
    <w:r>
      <w:fldChar w:fldCharType="end"/>
    </w:r>
    <w:r>
      <w:rPr>
        <w:rFonts w:hint="eastAsia"/>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0F7590"/>
    <w:multiLevelType w:val="multilevel"/>
    <w:tmpl w:val="460F7590"/>
    <w:lvl w:ilvl="0" w:tentative="0">
      <w:start w:val="1"/>
      <w:numFmt w:val="decimalEnclosedCircle"/>
      <w:lvlText w:val="%1"/>
      <w:lvlJc w:val="left"/>
      <w:pPr>
        <w:ind w:left="975" w:hanging="360"/>
      </w:pPr>
      <w:rPr>
        <w:rFonts w:hint="default"/>
      </w:rPr>
    </w:lvl>
    <w:lvl w:ilvl="1" w:tentative="0">
      <w:start w:val="1"/>
      <w:numFmt w:val="lowerLetter"/>
      <w:lvlText w:val="%2)"/>
      <w:lvlJc w:val="left"/>
      <w:pPr>
        <w:ind w:left="1495" w:hanging="440"/>
      </w:pPr>
    </w:lvl>
    <w:lvl w:ilvl="2" w:tentative="0">
      <w:start w:val="1"/>
      <w:numFmt w:val="lowerRoman"/>
      <w:lvlText w:val="%3."/>
      <w:lvlJc w:val="right"/>
      <w:pPr>
        <w:ind w:left="1935" w:hanging="440"/>
      </w:pPr>
    </w:lvl>
    <w:lvl w:ilvl="3" w:tentative="0">
      <w:start w:val="1"/>
      <w:numFmt w:val="decimal"/>
      <w:lvlText w:val="%4."/>
      <w:lvlJc w:val="left"/>
      <w:pPr>
        <w:ind w:left="2375" w:hanging="440"/>
      </w:pPr>
    </w:lvl>
    <w:lvl w:ilvl="4" w:tentative="0">
      <w:start w:val="1"/>
      <w:numFmt w:val="lowerLetter"/>
      <w:lvlText w:val="%5)"/>
      <w:lvlJc w:val="left"/>
      <w:pPr>
        <w:ind w:left="2815" w:hanging="440"/>
      </w:pPr>
    </w:lvl>
    <w:lvl w:ilvl="5" w:tentative="0">
      <w:start w:val="1"/>
      <w:numFmt w:val="lowerRoman"/>
      <w:lvlText w:val="%6."/>
      <w:lvlJc w:val="right"/>
      <w:pPr>
        <w:ind w:left="3255" w:hanging="440"/>
      </w:pPr>
    </w:lvl>
    <w:lvl w:ilvl="6" w:tentative="0">
      <w:start w:val="1"/>
      <w:numFmt w:val="decimal"/>
      <w:lvlText w:val="%7."/>
      <w:lvlJc w:val="left"/>
      <w:pPr>
        <w:ind w:left="3695" w:hanging="440"/>
      </w:pPr>
    </w:lvl>
    <w:lvl w:ilvl="7" w:tentative="0">
      <w:start w:val="1"/>
      <w:numFmt w:val="lowerLetter"/>
      <w:lvlText w:val="%8)"/>
      <w:lvlJc w:val="left"/>
      <w:pPr>
        <w:ind w:left="4135" w:hanging="440"/>
      </w:pPr>
    </w:lvl>
    <w:lvl w:ilvl="8" w:tentative="0">
      <w:start w:val="1"/>
      <w:numFmt w:val="lowerRoman"/>
      <w:lvlText w:val="%9."/>
      <w:lvlJc w:val="right"/>
      <w:pPr>
        <w:ind w:left="4575" w:hanging="440"/>
      </w:pPr>
    </w:lvl>
  </w:abstractNum>
  <w:abstractNum w:abstractNumId="1">
    <w:nsid w:val="677B651B"/>
    <w:multiLevelType w:val="singleLevel"/>
    <w:tmpl w:val="677B651B"/>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NWNjOThlNDUxOTVlNGU4ZjU4MTMxNmM2YmVmNmQifQ=="/>
  </w:docVars>
  <w:rsids>
    <w:rsidRoot w:val="00803929"/>
    <w:rsid w:val="00013069"/>
    <w:rsid w:val="000245B1"/>
    <w:rsid w:val="00024CC4"/>
    <w:rsid w:val="00040259"/>
    <w:rsid w:val="00041C95"/>
    <w:rsid w:val="000708DA"/>
    <w:rsid w:val="000B5CC5"/>
    <w:rsid w:val="000F0ABB"/>
    <w:rsid w:val="000F3EE3"/>
    <w:rsid w:val="00127553"/>
    <w:rsid w:val="00150268"/>
    <w:rsid w:val="00182AAD"/>
    <w:rsid w:val="001B20B2"/>
    <w:rsid w:val="001C3BCA"/>
    <w:rsid w:val="001C7A13"/>
    <w:rsid w:val="002142C5"/>
    <w:rsid w:val="00225B8B"/>
    <w:rsid w:val="00226E68"/>
    <w:rsid w:val="00240B57"/>
    <w:rsid w:val="00247B4F"/>
    <w:rsid w:val="002A75B1"/>
    <w:rsid w:val="002C111E"/>
    <w:rsid w:val="002C11A0"/>
    <w:rsid w:val="002D3D1F"/>
    <w:rsid w:val="002D53F1"/>
    <w:rsid w:val="002E07FA"/>
    <w:rsid w:val="002E7774"/>
    <w:rsid w:val="002F12C3"/>
    <w:rsid w:val="002F7D46"/>
    <w:rsid w:val="00304ABE"/>
    <w:rsid w:val="00361432"/>
    <w:rsid w:val="00367A05"/>
    <w:rsid w:val="00375AD8"/>
    <w:rsid w:val="00382E60"/>
    <w:rsid w:val="00385ACD"/>
    <w:rsid w:val="003A2D96"/>
    <w:rsid w:val="003B64F0"/>
    <w:rsid w:val="003B6A28"/>
    <w:rsid w:val="003C2AD3"/>
    <w:rsid w:val="003D7130"/>
    <w:rsid w:val="003F72B9"/>
    <w:rsid w:val="0042047B"/>
    <w:rsid w:val="00426EC6"/>
    <w:rsid w:val="00436081"/>
    <w:rsid w:val="004514C9"/>
    <w:rsid w:val="0047313D"/>
    <w:rsid w:val="0048551B"/>
    <w:rsid w:val="00492EDE"/>
    <w:rsid w:val="004A0FC3"/>
    <w:rsid w:val="004B51BC"/>
    <w:rsid w:val="004B5D65"/>
    <w:rsid w:val="004C2A67"/>
    <w:rsid w:val="004C5174"/>
    <w:rsid w:val="004C57D8"/>
    <w:rsid w:val="004D15B0"/>
    <w:rsid w:val="004E7EB4"/>
    <w:rsid w:val="004F2376"/>
    <w:rsid w:val="004F2604"/>
    <w:rsid w:val="004F4ED4"/>
    <w:rsid w:val="004F64F2"/>
    <w:rsid w:val="00507EB3"/>
    <w:rsid w:val="0052724B"/>
    <w:rsid w:val="00527B1B"/>
    <w:rsid w:val="00572921"/>
    <w:rsid w:val="00594F1D"/>
    <w:rsid w:val="005D145E"/>
    <w:rsid w:val="005D6B36"/>
    <w:rsid w:val="005E7708"/>
    <w:rsid w:val="005F2811"/>
    <w:rsid w:val="005F2D7B"/>
    <w:rsid w:val="005F404E"/>
    <w:rsid w:val="005F61A9"/>
    <w:rsid w:val="00602C7B"/>
    <w:rsid w:val="00607670"/>
    <w:rsid w:val="0063116D"/>
    <w:rsid w:val="00645952"/>
    <w:rsid w:val="00682E28"/>
    <w:rsid w:val="00686B30"/>
    <w:rsid w:val="006A3769"/>
    <w:rsid w:val="006E023B"/>
    <w:rsid w:val="006F6B04"/>
    <w:rsid w:val="00703A7C"/>
    <w:rsid w:val="00737EE7"/>
    <w:rsid w:val="00751A23"/>
    <w:rsid w:val="00771D80"/>
    <w:rsid w:val="007772B8"/>
    <w:rsid w:val="007A2499"/>
    <w:rsid w:val="007B7245"/>
    <w:rsid w:val="007B78CB"/>
    <w:rsid w:val="007C0755"/>
    <w:rsid w:val="007C1554"/>
    <w:rsid w:val="007D1276"/>
    <w:rsid w:val="00801D66"/>
    <w:rsid w:val="00803929"/>
    <w:rsid w:val="00804A03"/>
    <w:rsid w:val="0083199B"/>
    <w:rsid w:val="00846554"/>
    <w:rsid w:val="00860371"/>
    <w:rsid w:val="00875269"/>
    <w:rsid w:val="00876DB7"/>
    <w:rsid w:val="008C1578"/>
    <w:rsid w:val="008C5A76"/>
    <w:rsid w:val="00910320"/>
    <w:rsid w:val="009258FD"/>
    <w:rsid w:val="0097227A"/>
    <w:rsid w:val="00995389"/>
    <w:rsid w:val="009A6FD8"/>
    <w:rsid w:val="009A7E69"/>
    <w:rsid w:val="009B1473"/>
    <w:rsid w:val="009C5F61"/>
    <w:rsid w:val="009D231A"/>
    <w:rsid w:val="009E243D"/>
    <w:rsid w:val="009E37C5"/>
    <w:rsid w:val="009E69CD"/>
    <w:rsid w:val="00A0173C"/>
    <w:rsid w:val="00A074CB"/>
    <w:rsid w:val="00A14EB3"/>
    <w:rsid w:val="00A32763"/>
    <w:rsid w:val="00A44EE1"/>
    <w:rsid w:val="00A57E0F"/>
    <w:rsid w:val="00A61A9C"/>
    <w:rsid w:val="00A72189"/>
    <w:rsid w:val="00A72949"/>
    <w:rsid w:val="00AB442D"/>
    <w:rsid w:val="00AB61EE"/>
    <w:rsid w:val="00AB73E4"/>
    <w:rsid w:val="00AC7C93"/>
    <w:rsid w:val="00B016C2"/>
    <w:rsid w:val="00B347FC"/>
    <w:rsid w:val="00B439F5"/>
    <w:rsid w:val="00B4559C"/>
    <w:rsid w:val="00B5146D"/>
    <w:rsid w:val="00B60250"/>
    <w:rsid w:val="00B60A71"/>
    <w:rsid w:val="00B6238A"/>
    <w:rsid w:val="00B76F7B"/>
    <w:rsid w:val="00B80F84"/>
    <w:rsid w:val="00B85951"/>
    <w:rsid w:val="00B93CDE"/>
    <w:rsid w:val="00B96DDA"/>
    <w:rsid w:val="00BB5B20"/>
    <w:rsid w:val="00BB6803"/>
    <w:rsid w:val="00BC31A2"/>
    <w:rsid w:val="00BC375E"/>
    <w:rsid w:val="00BD07FB"/>
    <w:rsid w:val="00BF0F3A"/>
    <w:rsid w:val="00BF737D"/>
    <w:rsid w:val="00C00254"/>
    <w:rsid w:val="00C038CC"/>
    <w:rsid w:val="00C10097"/>
    <w:rsid w:val="00C14939"/>
    <w:rsid w:val="00C31810"/>
    <w:rsid w:val="00C36DF9"/>
    <w:rsid w:val="00C45BD2"/>
    <w:rsid w:val="00C47406"/>
    <w:rsid w:val="00C51824"/>
    <w:rsid w:val="00C64AC3"/>
    <w:rsid w:val="00C7141C"/>
    <w:rsid w:val="00CA263E"/>
    <w:rsid w:val="00CA4EA4"/>
    <w:rsid w:val="00CB0984"/>
    <w:rsid w:val="00CD0741"/>
    <w:rsid w:val="00CD4F3B"/>
    <w:rsid w:val="00CD53EC"/>
    <w:rsid w:val="00CE272C"/>
    <w:rsid w:val="00D107EA"/>
    <w:rsid w:val="00D36A36"/>
    <w:rsid w:val="00D423D9"/>
    <w:rsid w:val="00D42E96"/>
    <w:rsid w:val="00D4473F"/>
    <w:rsid w:val="00D4664C"/>
    <w:rsid w:val="00D54370"/>
    <w:rsid w:val="00D56A74"/>
    <w:rsid w:val="00D657AC"/>
    <w:rsid w:val="00D7523F"/>
    <w:rsid w:val="00DA510F"/>
    <w:rsid w:val="00DA765C"/>
    <w:rsid w:val="00DE4080"/>
    <w:rsid w:val="00E33971"/>
    <w:rsid w:val="00E367F1"/>
    <w:rsid w:val="00E427CE"/>
    <w:rsid w:val="00E71CB9"/>
    <w:rsid w:val="00E779AF"/>
    <w:rsid w:val="00EB7CE8"/>
    <w:rsid w:val="00EC78A8"/>
    <w:rsid w:val="00EF52DA"/>
    <w:rsid w:val="00EF7BD7"/>
    <w:rsid w:val="00F15F25"/>
    <w:rsid w:val="00F2298B"/>
    <w:rsid w:val="00F23EC2"/>
    <w:rsid w:val="00F319A0"/>
    <w:rsid w:val="00F422E5"/>
    <w:rsid w:val="00F43C98"/>
    <w:rsid w:val="00F55018"/>
    <w:rsid w:val="00F64898"/>
    <w:rsid w:val="00F67F10"/>
    <w:rsid w:val="00FA231B"/>
    <w:rsid w:val="00FB5E29"/>
    <w:rsid w:val="00FB610E"/>
    <w:rsid w:val="00FC4F5E"/>
    <w:rsid w:val="00FC7155"/>
    <w:rsid w:val="00FD3E0A"/>
    <w:rsid w:val="00FE11C8"/>
    <w:rsid w:val="00FF0586"/>
    <w:rsid w:val="03085DCD"/>
    <w:rsid w:val="05E65BBE"/>
    <w:rsid w:val="13491AFE"/>
    <w:rsid w:val="13FB2438"/>
    <w:rsid w:val="14926352"/>
    <w:rsid w:val="16DA6BD9"/>
    <w:rsid w:val="170E693A"/>
    <w:rsid w:val="2527089C"/>
    <w:rsid w:val="2AEF5F8D"/>
    <w:rsid w:val="2B8C445A"/>
    <w:rsid w:val="2BB46983"/>
    <w:rsid w:val="2E00578A"/>
    <w:rsid w:val="2E2E2FB7"/>
    <w:rsid w:val="2FD00D5C"/>
    <w:rsid w:val="3168004A"/>
    <w:rsid w:val="3BF64544"/>
    <w:rsid w:val="3DFE6978"/>
    <w:rsid w:val="3E46390E"/>
    <w:rsid w:val="406531F0"/>
    <w:rsid w:val="410F0CCE"/>
    <w:rsid w:val="41D826AC"/>
    <w:rsid w:val="49EC377E"/>
    <w:rsid w:val="4A3A61B6"/>
    <w:rsid w:val="4B971A3C"/>
    <w:rsid w:val="4C1D29BD"/>
    <w:rsid w:val="4C8758E1"/>
    <w:rsid w:val="527473E8"/>
    <w:rsid w:val="55095C72"/>
    <w:rsid w:val="579E6F11"/>
    <w:rsid w:val="589B3BD5"/>
    <w:rsid w:val="59F47AE4"/>
    <w:rsid w:val="5BF479C5"/>
    <w:rsid w:val="5C0C7E6C"/>
    <w:rsid w:val="5C7600D4"/>
    <w:rsid w:val="5FCC6426"/>
    <w:rsid w:val="60F93A70"/>
    <w:rsid w:val="66C802F3"/>
    <w:rsid w:val="67DD11C5"/>
    <w:rsid w:val="681E5CB9"/>
    <w:rsid w:val="73EA385F"/>
    <w:rsid w:val="74AD7062"/>
    <w:rsid w:val="75963371"/>
    <w:rsid w:val="7B2D512D"/>
    <w:rsid w:val="7C4E498C"/>
    <w:rsid w:val="7C5331B5"/>
    <w:rsid w:val="7CAE09D8"/>
    <w:rsid w:val="7F7E378F"/>
    <w:rsid w:val="7FFA3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spacing w:after="120"/>
      <w:ind w:left="420" w:leftChars="200"/>
    </w:pPr>
  </w:style>
  <w:style w:type="paragraph" w:styleId="4">
    <w:name w:val="Normal Indent"/>
    <w:basedOn w:val="1"/>
    <w:next w:val="1"/>
    <w:qFormat/>
    <w:uiPriority w:val="0"/>
    <w:pPr>
      <w:ind w:firstLine="420"/>
    </w:pPr>
  </w:style>
  <w:style w:type="paragraph" w:styleId="5">
    <w:name w:val="annotation text"/>
    <w:basedOn w:val="1"/>
    <w:link w:val="15"/>
    <w:qFormat/>
    <w:uiPriority w:val="0"/>
    <w:pPr>
      <w:jc w:val="left"/>
    </w:pPr>
    <w:rPr>
      <w:rFonts w:ascii="Times New Roman" w:hAnsi="Times New Roman"/>
    </w:rPr>
  </w:style>
  <w:style w:type="paragraph" w:styleId="6">
    <w:name w:val="toc 3"/>
    <w:basedOn w:val="1"/>
    <w:next w:val="1"/>
    <w:qFormat/>
    <w:uiPriority w:val="39"/>
    <w:pPr>
      <w:ind w:left="840" w:leftChars="400"/>
    </w:pPr>
  </w:style>
  <w:style w:type="paragraph" w:styleId="7">
    <w:name w:val="footer"/>
    <w:next w:val="1"/>
    <w:qFormat/>
    <w:uiPriority w:val="99"/>
    <w:pPr>
      <w:widowControl w:val="0"/>
      <w:tabs>
        <w:tab w:val="center" w:pos="4153"/>
        <w:tab w:val="right" w:pos="8306"/>
      </w:tabs>
      <w:snapToGrid w:val="0"/>
    </w:pPr>
    <w:rPr>
      <w:rFonts w:ascii="Calibri" w:hAnsi="Calibri" w:eastAsia="宋体" w:cs="Times New Roman"/>
      <w:kern w:val="2"/>
      <w:sz w:val="18"/>
      <w:szCs w:val="18"/>
      <w:lang w:val="en-US" w:eastAsia="zh-CN" w:bidi="ar-SA"/>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paragraph" w:customStyle="1" w:styleId="14">
    <w:name w:val="列出段落2"/>
    <w:basedOn w:val="1"/>
    <w:qFormat/>
    <w:uiPriority w:val="0"/>
    <w:pPr>
      <w:ind w:firstLine="420" w:firstLineChars="200"/>
    </w:pPr>
    <w:rPr>
      <w:rFonts w:cs="黑体"/>
    </w:rPr>
  </w:style>
  <w:style w:type="character" w:customStyle="1" w:styleId="15">
    <w:name w:val="批注文字 字符"/>
    <w:basedOn w:val="12"/>
    <w:link w:val="5"/>
    <w:qFormat/>
    <w:uiPriority w:val="0"/>
    <w:rPr>
      <w:rFonts w:ascii="Times New Roman" w:hAnsi="Times New Roman" w:eastAsia="宋体" w:cs="Times New Roman"/>
      <w:kern w:val="2"/>
      <w:sz w:val="21"/>
      <w:szCs w:val="24"/>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4DF70-52BD-46E6-AF20-C4A52A283017}">
  <ds:schemaRefs/>
</ds:datastoreItem>
</file>

<file path=docProps/app.xml><?xml version="1.0" encoding="utf-8"?>
<Properties xmlns="http://schemas.openxmlformats.org/officeDocument/2006/extended-properties" xmlns:vt="http://schemas.openxmlformats.org/officeDocument/2006/docPropsVTypes">
  <Template>Normal</Template>
  <Pages>27</Pages>
  <Words>11889</Words>
  <Characters>12539</Characters>
  <Lines>101</Lines>
  <Paragraphs>28</Paragraphs>
  <TotalTime>81</TotalTime>
  <ScaleCrop>false</ScaleCrop>
  <LinksUpToDate>false</LinksUpToDate>
  <CharactersWithSpaces>12644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2022-09-29T00:41:00Z</dcterms:created>
  <dc:creator>mini</dc:creator>
  <cp:lastModifiedBy>lf</cp:lastModifiedBy>
  <dcterms:modified xsi:type="dcterms:W3CDTF">2023-09-25T05:06:38Z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78586043418C4DBB9881ADF3AC0D42CB</vt:lpwstr>
  </property>
</Properties>
</file>