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楷体" w:hAnsi="楷体" w:eastAsia="楷体"/>
          <w:bCs/>
          <w:color w:val="auto"/>
          <w:sz w:val="36"/>
          <w:szCs w:val="36"/>
          <w:highlight w:val="none"/>
        </w:rPr>
      </w:pPr>
      <w:r>
        <w:rPr>
          <w:rFonts w:hint="eastAsia" w:ascii="华文中宋" w:hAnsi="华文中宋" w:eastAsia="华文中宋"/>
          <w:b/>
          <w:sz w:val="36"/>
          <w:szCs w:val="36"/>
        </w:rPr>
        <w:t xml:space="preserve">         </w:t>
      </w:r>
      <w:r>
        <w:rPr>
          <w:rFonts w:hint="eastAsia" w:ascii="楷体" w:hAnsi="楷体" w:eastAsia="楷体"/>
          <w:bCs/>
          <w:color w:val="auto"/>
          <w:sz w:val="36"/>
          <w:szCs w:val="36"/>
          <w:highlight w:val="none"/>
        </w:rPr>
        <w:t>报告编码：</w:t>
      </w:r>
      <w:r>
        <w:rPr>
          <w:rFonts w:hint="eastAsia" w:ascii="楷体" w:hAnsi="楷体" w:eastAsia="楷体" w:cs="楷体"/>
          <w:bCs/>
          <w:color w:val="auto"/>
          <w:sz w:val="36"/>
          <w:szCs w:val="36"/>
          <w:highlight w:val="none"/>
        </w:rPr>
        <w:t>鄂恒会咨字﹝</w:t>
      </w:r>
      <w:r>
        <w:rPr>
          <w:rFonts w:ascii="楷体" w:hAnsi="楷体" w:eastAsia="楷体" w:cs="楷体"/>
          <w:bCs/>
          <w:color w:val="auto"/>
          <w:sz w:val="36"/>
          <w:szCs w:val="36"/>
          <w:highlight w:val="none"/>
        </w:rPr>
        <w:t>2023</w:t>
      </w:r>
      <w:r>
        <w:rPr>
          <w:rFonts w:hint="eastAsia" w:ascii="楷体" w:hAnsi="楷体" w:eastAsia="楷体" w:cs="楷体"/>
          <w:bCs/>
          <w:color w:val="auto"/>
          <w:sz w:val="36"/>
          <w:szCs w:val="36"/>
          <w:highlight w:val="none"/>
        </w:rPr>
        <w:t>﹞</w:t>
      </w:r>
      <w:r>
        <w:rPr>
          <w:rFonts w:ascii="楷体" w:hAnsi="楷体" w:eastAsia="楷体" w:cs="楷体"/>
          <w:bCs/>
          <w:color w:val="auto"/>
          <w:sz w:val="36"/>
          <w:szCs w:val="36"/>
          <w:highlight w:val="none"/>
        </w:rPr>
        <w:t>022</w:t>
      </w:r>
      <w:r>
        <w:rPr>
          <w:rFonts w:hint="eastAsia" w:ascii="楷体" w:hAnsi="楷体" w:eastAsia="楷体" w:cs="楷体"/>
          <w:bCs/>
          <w:color w:val="auto"/>
          <w:sz w:val="36"/>
          <w:szCs w:val="36"/>
          <w:highlight w:val="none"/>
        </w:rPr>
        <w:t>号</w:t>
      </w:r>
    </w:p>
    <w:p>
      <w:pPr>
        <w:rPr>
          <w:rFonts w:ascii="华文中宋" w:hAnsi="华文中宋" w:eastAsia="华文中宋"/>
          <w:b/>
          <w:color w:val="auto"/>
          <w:sz w:val="10"/>
          <w:szCs w:val="10"/>
          <w:highlight w:val="none"/>
        </w:rPr>
      </w:pPr>
    </w:p>
    <w:p>
      <w:pPr>
        <w:jc w:val="center"/>
        <w:rPr>
          <w:rFonts w:ascii="华文中宋" w:hAnsi="华文中宋" w:eastAsia="华文中宋"/>
          <w:b/>
          <w:color w:val="auto"/>
          <w:sz w:val="10"/>
          <w:szCs w:val="10"/>
          <w:highlight w:val="none"/>
        </w:rPr>
      </w:pPr>
    </w:p>
    <w:p>
      <w:pPr>
        <w:jc w:val="center"/>
        <w:rPr>
          <w:rFonts w:ascii="华文中宋" w:hAnsi="华文中宋" w:eastAsia="华文中宋"/>
          <w:b/>
          <w:color w:val="auto"/>
          <w:sz w:val="48"/>
          <w:szCs w:val="48"/>
          <w:highlight w:val="none"/>
        </w:rPr>
      </w:pPr>
      <w:r>
        <w:rPr>
          <w:rFonts w:hint="eastAsia" w:ascii="华文中宋" w:hAnsi="华文中宋" w:eastAsia="华文中宋"/>
          <w:b/>
          <w:color w:val="auto"/>
          <w:sz w:val="48"/>
          <w:szCs w:val="48"/>
          <w:highlight w:val="none"/>
        </w:rPr>
        <w:t>通城县预算绩效评价报告</w:t>
      </w:r>
    </w:p>
    <w:p>
      <w:pPr>
        <w:rPr>
          <w:rFonts w:ascii="黑体" w:hAnsi="黑体" w:eastAsia="黑体"/>
          <w:color w:val="auto"/>
          <w:sz w:val="10"/>
          <w:szCs w:val="10"/>
          <w:highlight w:val="none"/>
        </w:rPr>
      </w:pPr>
    </w:p>
    <w:p>
      <w:pPr>
        <w:rPr>
          <w:rFonts w:ascii="楷体_GB2312" w:hAnsi="楷体" w:eastAsia="楷体_GB2312"/>
          <w:color w:val="auto"/>
          <w:sz w:val="36"/>
          <w:szCs w:val="36"/>
          <w:highlight w:val="none"/>
        </w:rPr>
      </w:pPr>
      <w:r>
        <w:rPr>
          <w:rFonts w:hint="eastAsia" w:ascii="黑体" w:hAnsi="黑体" w:eastAsia="黑体"/>
          <w:color w:val="auto"/>
          <w:sz w:val="32"/>
          <w:szCs w:val="32"/>
          <w:highlight w:val="none"/>
        </w:rPr>
        <w:t xml:space="preserve"> </w:t>
      </w:r>
      <w:r>
        <w:rPr>
          <w:rFonts w:ascii="黑体" w:hAnsi="黑体" w:eastAsia="黑体"/>
          <w:color w:val="auto"/>
          <w:sz w:val="32"/>
          <w:szCs w:val="32"/>
          <w:highlight w:val="none"/>
        </w:rPr>
        <w:t xml:space="preserve">                  </w:t>
      </w:r>
      <w:r>
        <w:rPr>
          <w:rFonts w:hint="eastAsia" w:ascii="楷体_GB2312" w:hAnsi="楷体" w:eastAsia="楷体_GB2312"/>
          <w:color w:val="auto"/>
          <w:sz w:val="36"/>
          <w:szCs w:val="36"/>
          <w:highlight w:val="none"/>
        </w:rPr>
        <w:t>（缩略版）</w:t>
      </w:r>
    </w:p>
    <w:p>
      <w:pPr>
        <w:rPr>
          <w:rFonts w:ascii="黑体" w:hAnsi="黑体" w:eastAsia="黑体"/>
          <w:color w:val="auto"/>
          <w:sz w:val="32"/>
          <w:szCs w:val="32"/>
          <w:highlight w:val="none"/>
        </w:rPr>
      </w:pPr>
    </w:p>
    <w:p>
      <w:pPr>
        <w:rPr>
          <w:rFonts w:ascii="黑体" w:hAnsi="黑体" w:eastAsia="黑体"/>
          <w:color w:val="auto"/>
          <w:sz w:val="32"/>
          <w:szCs w:val="32"/>
          <w:highlight w:val="none"/>
        </w:rPr>
      </w:pPr>
    </w:p>
    <w:p>
      <w:pPr>
        <w:rPr>
          <w:rFonts w:ascii="黑体" w:hAnsi="黑体" w:eastAsia="黑体"/>
          <w:color w:val="auto"/>
          <w:sz w:val="32"/>
          <w:szCs w:val="32"/>
          <w:highlight w:val="none"/>
        </w:rPr>
      </w:pPr>
    </w:p>
    <w:p>
      <w:pPr>
        <w:rPr>
          <w:rFonts w:ascii="黑体" w:hAnsi="黑体" w:eastAsia="黑体"/>
          <w:color w:val="auto"/>
          <w:sz w:val="32"/>
          <w:szCs w:val="32"/>
          <w:highlight w:val="none"/>
        </w:rPr>
      </w:pPr>
    </w:p>
    <w:p>
      <w:pPr>
        <w:rPr>
          <w:rFonts w:ascii="华文中宋" w:hAnsi="华文中宋" w:eastAsia="华文中宋" w:cs="楷体"/>
          <w:color w:val="auto"/>
          <w:sz w:val="36"/>
          <w:szCs w:val="36"/>
          <w:highlight w:val="none"/>
        </w:rPr>
      </w:pPr>
    </w:p>
    <w:p>
      <w:pPr>
        <w:ind w:left="1800" w:hanging="1800" w:hangingChars="500"/>
        <w:rPr>
          <w:rFonts w:ascii="华文中宋" w:hAnsi="华文中宋" w:eastAsia="华文中宋" w:cs="楷体"/>
          <w:color w:val="auto"/>
          <w:sz w:val="36"/>
          <w:szCs w:val="36"/>
          <w:highlight w:val="none"/>
        </w:rPr>
      </w:pPr>
      <w:r>
        <w:rPr>
          <w:rFonts w:hint="eastAsia" w:ascii="华文中宋" w:hAnsi="华文中宋" w:eastAsia="华文中宋" w:cs="楷体"/>
          <w:color w:val="auto"/>
          <w:sz w:val="36"/>
          <w:szCs w:val="36"/>
          <w:highlight w:val="none"/>
        </w:rPr>
        <w:t>报告名称： 通城经济开发区2</w:t>
      </w:r>
      <w:r>
        <w:rPr>
          <w:rFonts w:ascii="华文中宋" w:hAnsi="华文中宋" w:eastAsia="华文中宋" w:cs="楷体"/>
          <w:color w:val="auto"/>
          <w:sz w:val="36"/>
          <w:szCs w:val="36"/>
          <w:highlight w:val="none"/>
        </w:rPr>
        <w:t>022</w:t>
      </w:r>
      <w:r>
        <w:rPr>
          <w:rFonts w:hint="eastAsia" w:ascii="华文中宋" w:hAnsi="华文中宋" w:eastAsia="华文中宋" w:cs="楷体"/>
          <w:color w:val="auto"/>
          <w:sz w:val="36"/>
          <w:szCs w:val="36"/>
          <w:highlight w:val="none"/>
        </w:rPr>
        <w:t>年度项目服务经费项目绩效评价报告</w:t>
      </w:r>
    </w:p>
    <w:p>
      <w:pPr>
        <w:rPr>
          <w:rFonts w:ascii="华文中宋" w:hAnsi="华文中宋" w:eastAsia="华文中宋" w:cs="楷体"/>
          <w:color w:val="auto"/>
          <w:sz w:val="36"/>
          <w:szCs w:val="36"/>
          <w:highlight w:val="none"/>
        </w:rPr>
      </w:pPr>
      <w:r>
        <w:rPr>
          <w:rFonts w:hint="eastAsia" w:ascii="华文中宋" w:hAnsi="华文中宋" w:eastAsia="华文中宋" w:cs="楷体"/>
          <w:color w:val="auto"/>
          <w:sz w:val="36"/>
          <w:szCs w:val="36"/>
          <w:highlight w:val="none"/>
        </w:rPr>
        <w:t>预算部门（单位）：通城经济开发区管理委员会</w:t>
      </w:r>
    </w:p>
    <w:p>
      <w:pPr>
        <w:rPr>
          <w:rFonts w:ascii="华文中宋" w:hAnsi="华文中宋" w:eastAsia="华文中宋" w:cs="楷体"/>
          <w:color w:val="auto"/>
          <w:sz w:val="36"/>
          <w:szCs w:val="36"/>
          <w:highlight w:val="none"/>
        </w:rPr>
      </w:pPr>
      <w:r>
        <w:rPr>
          <w:rFonts w:hint="eastAsia" w:ascii="华文中宋" w:hAnsi="华文中宋" w:eastAsia="华文中宋" w:cs="楷体"/>
          <w:color w:val="auto"/>
          <w:sz w:val="36"/>
          <w:szCs w:val="36"/>
          <w:highlight w:val="none"/>
        </w:rPr>
        <w:t>预算年度：20</w:t>
      </w:r>
      <w:r>
        <w:rPr>
          <w:rFonts w:ascii="华文中宋" w:hAnsi="华文中宋" w:eastAsia="华文中宋" w:cs="楷体"/>
          <w:color w:val="auto"/>
          <w:sz w:val="36"/>
          <w:szCs w:val="36"/>
          <w:highlight w:val="none"/>
        </w:rPr>
        <w:t>22</w:t>
      </w:r>
      <w:r>
        <w:rPr>
          <w:rFonts w:hint="eastAsia" w:ascii="华文中宋" w:hAnsi="华文中宋" w:eastAsia="华文中宋" w:cs="楷体"/>
          <w:color w:val="auto"/>
          <w:sz w:val="36"/>
          <w:szCs w:val="36"/>
          <w:highlight w:val="none"/>
        </w:rPr>
        <w:t>年度</w:t>
      </w:r>
    </w:p>
    <w:p>
      <w:pPr>
        <w:rPr>
          <w:rFonts w:ascii="华文中宋" w:hAnsi="华文中宋" w:eastAsia="华文中宋" w:cs="楷体"/>
          <w:color w:val="auto"/>
          <w:sz w:val="36"/>
          <w:szCs w:val="36"/>
          <w:highlight w:val="none"/>
        </w:rPr>
      </w:pPr>
      <w:r>
        <w:rPr>
          <w:rFonts w:hint="eastAsia" w:ascii="华文中宋" w:hAnsi="华文中宋" w:eastAsia="华文中宋" w:cs="楷体"/>
          <w:color w:val="auto"/>
          <w:sz w:val="36"/>
          <w:szCs w:val="36"/>
          <w:highlight w:val="none"/>
        </w:rPr>
        <w:t>评价类型：项目</w:t>
      </w:r>
      <w:r>
        <w:rPr>
          <w:rFonts w:hint="eastAsia" w:ascii="华文中宋" w:hAnsi="华文中宋" w:eastAsia="华文中宋"/>
          <w:color w:val="auto"/>
          <w:sz w:val="36"/>
          <w:szCs w:val="36"/>
          <w:highlight w:val="none"/>
        </w:rPr>
        <w:sym w:font="Wingdings" w:char="F0FE"/>
      </w:r>
      <w:r>
        <w:rPr>
          <w:rFonts w:hint="eastAsia" w:ascii="华文中宋" w:hAnsi="华文中宋" w:eastAsia="华文中宋" w:cs="楷体"/>
          <w:color w:val="auto"/>
          <w:sz w:val="36"/>
          <w:szCs w:val="36"/>
          <w:highlight w:val="none"/>
        </w:rPr>
        <w:t xml:space="preserve">  政策□   部门整体□</w:t>
      </w:r>
    </w:p>
    <w:p>
      <w:pPr>
        <w:rPr>
          <w:rFonts w:ascii="华文中宋" w:hAnsi="华文中宋" w:eastAsia="华文中宋" w:cs="楷体"/>
          <w:color w:val="auto"/>
          <w:sz w:val="36"/>
          <w:szCs w:val="36"/>
          <w:highlight w:val="none"/>
        </w:rPr>
      </w:pPr>
    </w:p>
    <w:p>
      <w:pPr>
        <w:rPr>
          <w:rFonts w:ascii="华文中宋" w:hAnsi="华文中宋" w:eastAsia="华文中宋" w:cs="楷体"/>
          <w:color w:val="auto"/>
          <w:sz w:val="36"/>
          <w:szCs w:val="36"/>
          <w:highlight w:val="none"/>
        </w:rPr>
      </w:pPr>
      <w:r>
        <w:rPr>
          <w:rFonts w:hint="eastAsia" w:ascii="华文中宋" w:hAnsi="华文中宋" w:eastAsia="华文中宋" w:cs="楷体"/>
          <w:color w:val="auto"/>
          <w:sz w:val="36"/>
          <w:szCs w:val="36"/>
          <w:highlight w:val="none"/>
        </w:rPr>
        <w:t>评价单位：湖北恒信会计师事务有限公司</w:t>
      </w:r>
    </w:p>
    <w:p>
      <w:pPr>
        <w:rPr>
          <w:rFonts w:hint="eastAsia" w:ascii="华文中宋" w:hAnsi="华文中宋" w:eastAsia="华文中宋" w:cs="楷体"/>
          <w:color w:val="auto"/>
          <w:sz w:val="36"/>
          <w:szCs w:val="36"/>
          <w:highlight w:val="none"/>
          <w:lang w:eastAsia="zh-CN"/>
        </w:rPr>
      </w:pPr>
      <w:r>
        <w:rPr>
          <w:rFonts w:hint="eastAsia" w:ascii="华文中宋" w:hAnsi="华文中宋" w:eastAsia="华文中宋" w:cs="楷体"/>
          <w:color w:val="auto"/>
          <w:sz w:val="36"/>
          <w:szCs w:val="36"/>
          <w:highlight w:val="none"/>
        </w:rPr>
        <w:t>主评人1：</w:t>
      </w:r>
      <w:r>
        <w:rPr>
          <w:rFonts w:hint="eastAsia" w:ascii="华文中宋" w:hAnsi="华文中宋" w:eastAsia="华文中宋" w:cs="楷体"/>
          <w:color w:val="auto"/>
          <w:sz w:val="36"/>
          <w:szCs w:val="36"/>
          <w:highlight w:val="none"/>
          <w:lang w:val="en-US" w:eastAsia="zh-CN"/>
        </w:rPr>
        <w:t>夏金平</w:t>
      </w:r>
    </w:p>
    <w:p>
      <w:pPr>
        <w:rPr>
          <w:rFonts w:ascii="华文中宋" w:hAnsi="华文中宋" w:eastAsia="华文中宋" w:cs="楷体"/>
          <w:color w:val="auto"/>
          <w:sz w:val="36"/>
          <w:szCs w:val="36"/>
          <w:highlight w:val="none"/>
        </w:rPr>
      </w:pPr>
      <w:r>
        <w:rPr>
          <w:rFonts w:hint="eastAsia" w:ascii="华文中宋" w:hAnsi="华文中宋" w:eastAsia="华文中宋" w:cs="楷体"/>
          <w:color w:val="auto"/>
          <w:sz w:val="36"/>
          <w:szCs w:val="36"/>
          <w:highlight w:val="none"/>
        </w:rPr>
        <w:t>主评人2：</w:t>
      </w:r>
      <w:r>
        <w:rPr>
          <w:rFonts w:hint="eastAsia" w:ascii="华文中宋" w:hAnsi="华文中宋" w:eastAsia="华文中宋" w:cs="楷体"/>
          <w:color w:val="auto"/>
          <w:sz w:val="36"/>
          <w:szCs w:val="36"/>
          <w:highlight w:val="none"/>
          <w:lang w:val="en-US" w:eastAsia="zh-CN"/>
        </w:rPr>
        <w:t>李峰</w:t>
      </w:r>
    </w:p>
    <w:p>
      <w:pPr>
        <w:rPr>
          <w:rFonts w:ascii="华文中宋" w:hAnsi="华文中宋" w:eastAsia="华文中宋" w:cs="楷体"/>
          <w:color w:val="auto"/>
          <w:sz w:val="36"/>
          <w:szCs w:val="36"/>
          <w:highlight w:val="none"/>
        </w:rPr>
      </w:pPr>
      <w:r>
        <w:rPr>
          <w:rFonts w:hint="eastAsia" w:ascii="华文中宋" w:hAnsi="华文中宋" w:eastAsia="华文中宋" w:cs="楷体"/>
          <w:color w:val="auto"/>
          <w:sz w:val="36"/>
          <w:szCs w:val="36"/>
          <w:highlight w:val="none"/>
        </w:rPr>
        <w:t>正式提交日期：2</w:t>
      </w:r>
      <w:r>
        <w:rPr>
          <w:rFonts w:ascii="华文中宋" w:hAnsi="华文中宋" w:eastAsia="华文中宋" w:cs="楷体"/>
          <w:color w:val="auto"/>
          <w:sz w:val="36"/>
          <w:szCs w:val="36"/>
          <w:highlight w:val="none"/>
        </w:rPr>
        <w:t>023</w:t>
      </w:r>
      <w:r>
        <w:rPr>
          <w:rFonts w:hint="eastAsia" w:ascii="华文中宋" w:hAnsi="华文中宋" w:eastAsia="华文中宋" w:cs="楷体"/>
          <w:color w:val="auto"/>
          <w:sz w:val="36"/>
          <w:szCs w:val="36"/>
          <w:highlight w:val="none"/>
        </w:rPr>
        <w:t>年</w:t>
      </w:r>
      <w:r>
        <w:rPr>
          <w:rFonts w:hint="eastAsia" w:ascii="华文中宋" w:hAnsi="华文中宋" w:eastAsia="华文中宋" w:cs="楷体"/>
          <w:color w:val="auto"/>
          <w:sz w:val="36"/>
          <w:szCs w:val="36"/>
          <w:highlight w:val="none"/>
          <w:lang w:val="en-US" w:eastAsia="zh-CN"/>
        </w:rPr>
        <w:t>9</w:t>
      </w:r>
      <w:r>
        <w:rPr>
          <w:rFonts w:hint="eastAsia" w:ascii="华文中宋" w:hAnsi="华文中宋" w:eastAsia="华文中宋" w:cs="楷体"/>
          <w:color w:val="auto"/>
          <w:sz w:val="36"/>
          <w:szCs w:val="36"/>
          <w:highlight w:val="none"/>
        </w:rPr>
        <w:t>月</w:t>
      </w:r>
      <w:r>
        <w:rPr>
          <w:rFonts w:hint="eastAsia" w:ascii="华文中宋" w:hAnsi="华文中宋" w:eastAsia="华文中宋" w:cs="楷体"/>
          <w:color w:val="auto"/>
          <w:sz w:val="36"/>
          <w:szCs w:val="36"/>
          <w:highlight w:val="none"/>
          <w:lang w:val="en-US" w:eastAsia="zh-CN"/>
        </w:rPr>
        <w:t>20</w:t>
      </w:r>
      <w:r>
        <w:rPr>
          <w:rFonts w:hint="eastAsia" w:ascii="华文中宋" w:hAnsi="华文中宋" w:eastAsia="华文中宋" w:cs="楷体"/>
          <w:color w:val="auto"/>
          <w:sz w:val="36"/>
          <w:szCs w:val="36"/>
          <w:highlight w:val="none"/>
        </w:rPr>
        <w:t>日</w:t>
      </w:r>
    </w:p>
    <w:p>
      <w:pPr>
        <w:rPr>
          <w:rFonts w:ascii="华文中宋" w:hAnsi="华文中宋" w:eastAsia="华文中宋" w:cs="楷体"/>
          <w:color w:val="auto"/>
          <w:sz w:val="36"/>
          <w:szCs w:val="36"/>
          <w:highlight w:val="none"/>
        </w:rPr>
      </w:pPr>
    </w:p>
    <w:p>
      <w:pPr>
        <w:jc w:val="center"/>
        <w:rPr>
          <w:rFonts w:ascii="楷体" w:hAnsi="楷体" w:eastAsia="楷体" w:cs="楷体"/>
          <w:b/>
          <w:color w:val="auto"/>
          <w:sz w:val="36"/>
          <w:szCs w:val="36"/>
          <w:highlight w:val="none"/>
        </w:rPr>
        <w:sectPr>
          <w:headerReference r:id="rId4" w:type="first"/>
          <w:footerReference r:id="rId7" w:type="first"/>
          <w:headerReference r:id="rId3" w:type="default"/>
          <w:footerReference r:id="rId5" w:type="default"/>
          <w:footerReference r:id="rId6" w:type="even"/>
          <w:pgSz w:w="11906" w:h="16838"/>
          <w:pgMar w:top="1440" w:right="1800" w:bottom="1440" w:left="1800" w:header="851" w:footer="992" w:gutter="0"/>
          <w:cols w:space="720" w:num="1"/>
          <w:docGrid w:type="lines" w:linePitch="312" w:charSpace="0"/>
        </w:sectPr>
      </w:pPr>
    </w:p>
    <w:p>
      <w:pPr>
        <w:pStyle w:val="8"/>
        <w:jc w:val="center"/>
        <w:rPr>
          <w:rFonts w:ascii="楷体" w:hAnsi="楷体" w:eastAsia="楷体" w:cs="仿宋"/>
          <w:b/>
          <w:bCs/>
          <w:color w:val="auto"/>
          <w:sz w:val="32"/>
          <w:szCs w:val="32"/>
          <w:highlight w:val="none"/>
        </w:rPr>
      </w:pPr>
      <w:r>
        <w:rPr>
          <w:rFonts w:hint="eastAsia" w:ascii="楷体" w:hAnsi="楷体" w:eastAsia="楷体" w:cs="仿宋"/>
          <w:b/>
          <w:bCs/>
          <w:color w:val="auto"/>
          <w:sz w:val="32"/>
          <w:szCs w:val="32"/>
          <w:highlight w:val="none"/>
        </w:rPr>
        <w:t>目    录</w:t>
      </w:r>
    </w:p>
    <w:p>
      <w:pPr>
        <w:pStyle w:val="8"/>
        <w:tabs>
          <w:tab w:val="right" w:leader="dot" w:pos="8844"/>
        </w:tabs>
        <w:spacing w:line="560" w:lineRule="exact"/>
        <w:rPr>
          <w:rFonts w:ascii="仿宋_GB2312" w:hAnsi="仿宋_GB2312" w:eastAsia="仿宋_GB2312" w:cs="仿宋_GB2312"/>
          <w:b/>
          <w:bCs/>
          <w:color w:val="auto"/>
          <w:sz w:val="28"/>
          <w:szCs w:val="28"/>
          <w:highlight w:val="none"/>
        </w:rPr>
      </w:pP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TOC \o "1-3" \h \u </w:instrText>
      </w:r>
      <w:r>
        <w:rPr>
          <w:rFonts w:hint="eastAsia" w:ascii="仿宋_GB2312" w:hAnsi="仿宋_GB2312" w:eastAsia="仿宋_GB2312" w:cs="仿宋_GB2312"/>
          <w:color w:val="auto"/>
          <w:sz w:val="28"/>
          <w:szCs w:val="28"/>
          <w:highlight w:val="none"/>
        </w:rPr>
        <w:fldChar w:fldCharType="separate"/>
      </w:r>
      <w:r>
        <w:rPr>
          <w:color w:val="auto"/>
          <w:highlight w:val="none"/>
        </w:rPr>
        <w:fldChar w:fldCharType="begin"/>
      </w:r>
      <w:r>
        <w:rPr>
          <w:color w:val="auto"/>
          <w:highlight w:val="none"/>
        </w:rPr>
        <w:instrText xml:space="preserve"> HYPERLINK \l "_Toc13830" </w:instrText>
      </w:r>
      <w:r>
        <w:rPr>
          <w:color w:val="auto"/>
          <w:highlight w:val="none"/>
        </w:rPr>
        <w:fldChar w:fldCharType="separate"/>
      </w:r>
      <w:r>
        <w:rPr>
          <w:rFonts w:hint="eastAsia" w:ascii="仿宋_GB2312" w:hAnsi="仿宋_GB2312" w:eastAsia="仿宋_GB2312" w:cs="仿宋_GB2312"/>
          <w:b/>
          <w:bCs/>
          <w:color w:val="auto"/>
          <w:sz w:val="28"/>
          <w:szCs w:val="28"/>
          <w:highlight w:val="none"/>
        </w:rPr>
        <w:t>一、评价结论</w:t>
      </w:r>
      <w:r>
        <w:rPr>
          <w:rFonts w:hint="eastAsia" w:ascii="仿宋_GB2312" w:hAnsi="仿宋_GB2312" w:eastAsia="仿宋_GB2312" w:cs="仿宋_GB2312"/>
          <w:b/>
          <w:bCs/>
          <w:color w:val="auto"/>
          <w:sz w:val="28"/>
          <w:szCs w:val="28"/>
          <w:highlight w:val="none"/>
        </w:rPr>
        <w:tab/>
      </w:r>
      <w:r>
        <w:rPr>
          <w:rFonts w:hint="eastAsia" w:ascii="仿宋_GB2312" w:hAnsi="仿宋_GB2312" w:eastAsia="仿宋_GB2312" w:cs="仿宋_GB2312"/>
          <w:b/>
          <w:bCs/>
          <w:color w:val="auto"/>
          <w:sz w:val="28"/>
          <w:szCs w:val="28"/>
          <w:highlight w:val="none"/>
        </w:rPr>
        <w:fldChar w:fldCharType="begin"/>
      </w:r>
      <w:r>
        <w:rPr>
          <w:rFonts w:hint="eastAsia" w:ascii="仿宋_GB2312" w:hAnsi="仿宋_GB2312" w:eastAsia="仿宋_GB2312" w:cs="仿宋_GB2312"/>
          <w:b/>
          <w:bCs/>
          <w:color w:val="auto"/>
          <w:sz w:val="28"/>
          <w:szCs w:val="28"/>
          <w:highlight w:val="none"/>
        </w:rPr>
        <w:instrText xml:space="preserve"> PAGEREF _Toc13830 \h </w:instrText>
      </w:r>
      <w:r>
        <w:rPr>
          <w:rFonts w:hint="eastAsia" w:ascii="仿宋_GB2312" w:hAnsi="仿宋_GB2312" w:eastAsia="仿宋_GB2312" w:cs="仿宋_GB2312"/>
          <w:b/>
          <w:bCs/>
          <w:color w:val="auto"/>
          <w:sz w:val="28"/>
          <w:szCs w:val="28"/>
          <w:highlight w:val="none"/>
        </w:rPr>
        <w:fldChar w:fldCharType="separate"/>
      </w:r>
      <w:r>
        <w:rPr>
          <w:rFonts w:hint="eastAsia" w:ascii="仿宋_GB2312" w:hAnsi="仿宋_GB2312" w:eastAsia="仿宋_GB2312" w:cs="仿宋_GB2312"/>
          <w:b/>
          <w:bCs/>
          <w:color w:val="auto"/>
          <w:sz w:val="28"/>
          <w:szCs w:val="28"/>
          <w:highlight w:val="none"/>
        </w:rPr>
        <w:t>1</w:t>
      </w:r>
      <w:r>
        <w:rPr>
          <w:rFonts w:hint="eastAsia" w:ascii="仿宋_GB2312" w:hAnsi="仿宋_GB2312" w:eastAsia="仿宋_GB2312" w:cs="仿宋_GB2312"/>
          <w:b/>
          <w:bCs/>
          <w:color w:val="auto"/>
          <w:sz w:val="28"/>
          <w:szCs w:val="28"/>
          <w:highlight w:val="none"/>
        </w:rPr>
        <w:fldChar w:fldCharType="end"/>
      </w:r>
      <w:r>
        <w:rPr>
          <w:rFonts w:hint="eastAsia" w:ascii="仿宋_GB2312" w:hAnsi="仿宋_GB2312" w:eastAsia="仿宋_GB2312" w:cs="仿宋_GB2312"/>
          <w:b/>
          <w:bCs/>
          <w:color w:val="auto"/>
          <w:sz w:val="28"/>
          <w:szCs w:val="28"/>
          <w:highlight w:val="none"/>
        </w:rPr>
        <w:fldChar w:fldCharType="end"/>
      </w:r>
    </w:p>
    <w:p>
      <w:pPr>
        <w:pStyle w:val="10"/>
        <w:tabs>
          <w:tab w:val="right" w:leader="dot" w:pos="8844"/>
        </w:tabs>
        <w:spacing w:line="560" w:lineRule="exact"/>
        <w:rPr>
          <w:rFonts w:ascii="仿宋_GB2312" w:hAnsi="仿宋_GB2312" w:eastAsia="仿宋_GB2312" w:cs="仿宋_GB2312"/>
          <w:color w:val="auto"/>
          <w:sz w:val="28"/>
          <w:szCs w:val="28"/>
          <w:highlight w:val="none"/>
        </w:rPr>
      </w:pPr>
      <w:r>
        <w:rPr>
          <w:color w:val="auto"/>
          <w:highlight w:val="none"/>
        </w:rPr>
        <w:fldChar w:fldCharType="begin"/>
      </w:r>
      <w:r>
        <w:rPr>
          <w:color w:val="auto"/>
          <w:highlight w:val="none"/>
        </w:rPr>
        <w:instrText xml:space="preserve"> HYPERLINK \l "_Toc20240" </w:instrText>
      </w:r>
      <w:r>
        <w:rPr>
          <w:color w:val="auto"/>
          <w:highlight w:val="none"/>
        </w:rPr>
        <w:fldChar w:fldCharType="separate"/>
      </w:r>
      <w:r>
        <w:rPr>
          <w:rFonts w:hint="eastAsia" w:ascii="仿宋_GB2312" w:hAnsi="仿宋_GB2312" w:eastAsia="仿宋_GB2312" w:cs="仿宋_GB2312"/>
          <w:color w:val="auto"/>
          <w:sz w:val="28"/>
          <w:szCs w:val="28"/>
          <w:highlight w:val="none"/>
        </w:rPr>
        <w:t>（一）项目绩效评价分数与等级</w:t>
      </w:r>
      <w:r>
        <w:rPr>
          <w:rFonts w:hint="eastAsia" w:ascii="仿宋_GB2312" w:hAnsi="仿宋_GB2312" w:eastAsia="仿宋_GB2312" w:cs="仿宋_GB2312"/>
          <w:color w:val="auto"/>
          <w:sz w:val="28"/>
          <w:szCs w:val="28"/>
          <w:highlight w:val="none"/>
        </w:rPr>
        <w:tab/>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 PAGEREF _Toc20240 \h </w:instrText>
      </w:r>
      <w:r>
        <w:rPr>
          <w:rFonts w:hint="eastAsia" w:ascii="仿宋_GB2312" w:hAnsi="仿宋_GB2312" w:eastAsia="仿宋_GB2312" w:cs="仿宋_GB2312"/>
          <w:color w:val="auto"/>
          <w:sz w:val="28"/>
          <w:szCs w:val="28"/>
          <w:highlight w:val="none"/>
        </w:rPr>
        <w:fldChar w:fldCharType="separate"/>
      </w: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rPr>
        <w:fldChar w:fldCharType="end"/>
      </w:r>
      <w:r>
        <w:rPr>
          <w:rFonts w:hint="eastAsia" w:ascii="仿宋_GB2312" w:hAnsi="仿宋_GB2312" w:eastAsia="仿宋_GB2312" w:cs="仿宋_GB2312"/>
          <w:color w:val="auto"/>
          <w:sz w:val="28"/>
          <w:szCs w:val="28"/>
          <w:highlight w:val="none"/>
        </w:rPr>
        <w:fldChar w:fldCharType="end"/>
      </w:r>
    </w:p>
    <w:p>
      <w:pPr>
        <w:pStyle w:val="10"/>
        <w:tabs>
          <w:tab w:val="right" w:leader="dot" w:pos="8844"/>
        </w:tabs>
        <w:spacing w:line="560" w:lineRule="exact"/>
        <w:rPr>
          <w:rFonts w:ascii="仿宋_GB2312" w:hAnsi="仿宋_GB2312" w:eastAsia="仿宋_GB2312" w:cs="仿宋_GB2312"/>
          <w:color w:val="auto"/>
          <w:sz w:val="28"/>
          <w:szCs w:val="28"/>
          <w:highlight w:val="none"/>
        </w:rPr>
      </w:pPr>
      <w:r>
        <w:rPr>
          <w:color w:val="auto"/>
          <w:highlight w:val="none"/>
        </w:rPr>
        <w:fldChar w:fldCharType="begin"/>
      </w:r>
      <w:r>
        <w:rPr>
          <w:color w:val="auto"/>
          <w:highlight w:val="none"/>
        </w:rPr>
        <w:instrText xml:space="preserve"> HYPERLINK \l "_Toc14742" </w:instrText>
      </w:r>
      <w:r>
        <w:rPr>
          <w:color w:val="auto"/>
          <w:highlight w:val="none"/>
        </w:rPr>
        <w:fldChar w:fldCharType="separate"/>
      </w:r>
      <w:r>
        <w:rPr>
          <w:rFonts w:hint="eastAsia" w:ascii="仿宋_GB2312" w:hAnsi="仿宋_GB2312" w:eastAsia="仿宋_GB2312" w:cs="仿宋_GB2312"/>
          <w:color w:val="auto"/>
          <w:sz w:val="28"/>
          <w:szCs w:val="28"/>
          <w:highlight w:val="none"/>
        </w:rPr>
        <w:t>（二）绩效评价指标情况</w:t>
      </w:r>
      <w:r>
        <w:rPr>
          <w:rFonts w:hint="eastAsia" w:ascii="仿宋_GB2312" w:hAnsi="仿宋_GB2312" w:eastAsia="仿宋_GB2312" w:cs="仿宋_GB2312"/>
          <w:color w:val="auto"/>
          <w:sz w:val="28"/>
          <w:szCs w:val="28"/>
          <w:highlight w:val="none"/>
        </w:rPr>
        <w:tab/>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 PAGEREF _Toc14742 \h </w:instrText>
      </w:r>
      <w:r>
        <w:rPr>
          <w:rFonts w:hint="eastAsia" w:ascii="仿宋_GB2312" w:hAnsi="仿宋_GB2312" w:eastAsia="仿宋_GB2312" w:cs="仿宋_GB2312"/>
          <w:color w:val="auto"/>
          <w:sz w:val="28"/>
          <w:szCs w:val="28"/>
          <w:highlight w:val="none"/>
        </w:rPr>
        <w:fldChar w:fldCharType="separate"/>
      </w: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rPr>
        <w:fldChar w:fldCharType="end"/>
      </w:r>
      <w:r>
        <w:rPr>
          <w:rFonts w:hint="eastAsia" w:ascii="仿宋_GB2312" w:hAnsi="仿宋_GB2312" w:eastAsia="仿宋_GB2312" w:cs="仿宋_GB2312"/>
          <w:color w:val="auto"/>
          <w:sz w:val="28"/>
          <w:szCs w:val="28"/>
          <w:highlight w:val="none"/>
        </w:rPr>
        <w:fldChar w:fldCharType="end"/>
      </w:r>
    </w:p>
    <w:p>
      <w:pPr>
        <w:pStyle w:val="10"/>
        <w:tabs>
          <w:tab w:val="right" w:leader="dot" w:pos="8844"/>
        </w:tabs>
        <w:spacing w:line="560" w:lineRule="exact"/>
        <w:rPr>
          <w:rFonts w:ascii="仿宋_GB2312" w:hAnsi="仿宋_GB2312" w:eastAsia="仿宋_GB2312" w:cs="仿宋_GB2312"/>
          <w:color w:val="auto"/>
          <w:sz w:val="28"/>
          <w:szCs w:val="28"/>
          <w:highlight w:val="none"/>
        </w:rPr>
      </w:pPr>
      <w:r>
        <w:rPr>
          <w:color w:val="auto"/>
          <w:highlight w:val="none"/>
        </w:rPr>
        <w:fldChar w:fldCharType="begin"/>
      </w:r>
      <w:r>
        <w:rPr>
          <w:color w:val="auto"/>
          <w:highlight w:val="none"/>
        </w:rPr>
        <w:instrText xml:space="preserve"> HYPERLINK \l "_Toc22216" </w:instrText>
      </w:r>
      <w:r>
        <w:rPr>
          <w:color w:val="auto"/>
          <w:highlight w:val="none"/>
        </w:rPr>
        <w:fldChar w:fldCharType="separate"/>
      </w:r>
      <w:r>
        <w:rPr>
          <w:rFonts w:hint="eastAsia" w:ascii="仿宋_GB2312" w:hAnsi="仿宋_GB2312" w:eastAsia="仿宋_GB2312" w:cs="仿宋_GB2312"/>
          <w:color w:val="auto"/>
          <w:sz w:val="28"/>
          <w:szCs w:val="28"/>
          <w:highlight w:val="none"/>
        </w:rPr>
        <w:t>（三）以前年度结果应用情况</w:t>
      </w:r>
      <w:r>
        <w:rPr>
          <w:rFonts w:hint="eastAsia" w:ascii="仿宋_GB2312" w:hAnsi="仿宋_GB2312" w:eastAsia="仿宋_GB2312" w:cs="仿宋_GB2312"/>
          <w:color w:val="auto"/>
          <w:sz w:val="28"/>
          <w:szCs w:val="28"/>
          <w:highlight w:val="none"/>
        </w:rPr>
        <w:tab/>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 PAGEREF _Toc22216 \h </w:instrText>
      </w:r>
      <w:r>
        <w:rPr>
          <w:rFonts w:hint="eastAsia" w:ascii="仿宋_GB2312" w:hAnsi="仿宋_GB2312" w:eastAsia="仿宋_GB2312" w:cs="仿宋_GB2312"/>
          <w:color w:val="auto"/>
          <w:sz w:val="28"/>
          <w:szCs w:val="28"/>
          <w:highlight w:val="none"/>
        </w:rPr>
        <w:fldChar w:fldCharType="separate"/>
      </w: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rPr>
        <w:fldChar w:fldCharType="end"/>
      </w:r>
      <w:r>
        <w:rPr>
          <w:rFonts w:hint="eastAsia" w:ascii="仿宋_GB2312" w:hAnsi="仿宋_GB2312" w:eastAsia="仿宋_GB2312" w:cs="仿宋_GB2312"/>
          <w:color w:val="auto"/>
          <w:sz w:val="28"/>
          <w:szCs w:val="28"/>
          <w:highlight w:val="none"/>
        </w:rPr>
        <w:fldChar w:fldCharType="end"/>
      </w:r>
    </w:p>
    <w:p>
      <w:pPr>
        <w:pStyle w:val="10"/>
        <w:tabs>
          <w:tab w:val="right" w:leader="dot" w:pos="8844"/>
        </w:tabs>
        <w:spacing w:line="560" w:lineRule="exact"/>
        <w:rPr>
          <w:rFonts w:ascii="仿宋_GB2312" w:hAnsi="仿宋_GB2312" w:eastAsia="仿宋_GB2312" w:cs="仿宋_GB2312"/>
          <w:color w:val="auto"/>
          <w:sz w:val="28"/>
          <w:szCs w:val="28"/>
          <w:highlight w:val="none"/>
        </w:rPr>
      </w:pPr>
      <w:r>
        <w:rPr>
          <w:color w:val="auto"/>
          <w:highlight w:val="none"/>
        </w:rPr>
        <w:fldChar w:fldCharType="begin"/>
      </w:r>
      <w:r>
        <w:rPr>
          <w:color w:val="auto"/>
          <w:highlight w:val="none"/>
        </w:rPr>
        <w:instrText xml:space="preserve"> HYPERLINK \l "_Toc12241" </w:instrText>
      </w:r>
      <w:r>
        <w:rPr>
          <w:color w:val="auto"/>
          <w:highlight w:val="none"/>
        </w:rPr>
        <w:fldChar w:fldCharType="separate"/>
      </w:r>
      <w:r>
        <w:rPr>
          <w:rFonts w:hint="eastAsia" w:ascii="仿宋_GB2312" w:hAnsi="仿宋_GB2312" w:eastAsia="仿宋_GB2312" w:cs="仿宋_GB2312"/>
          <w:color w:val="auto"/>
          <w:sz w:val="28"/>
          <w:szCs w:val="28"/>
          <w:highlight w:val="none"/>
        </w:rPr>
        <w:t>（四）本年度存在的问题和原因</w:t>
      </w:r>
      <w:r>
        <w:rPr>
          <w:rFonts w:hint="eastAsia" w:ascii="仿宋_GB2312" w:hAnsi="仿宋_GB2312" w:eastAsia="仿宋_GB2312" w:cs="仿宋_GB2312"/>
          <w:color w:val="auto"/>
          <w:sz w:val="28"/>
          <w:szCs w:val="28"/>
          <w:highlight w:val="none"/>
        </w:rPr>
        <w:tab/>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 PAGEREF _Toc12241 \h </w:instrText>
      </w:r>
      <w:r>
        <w:rPr>
          <w:rFonts w:hint="eastAsia" w:ascii="仿宋_GB2312" w:hAnsi="仿宋_GB2312" w:eastAsia="仿宋_GB2312" w:cs="仿宋_GB2312"/>
          <w:color w:val="auto"/>
          <w:sz w:val="28"/>
          <w:szCs w:val="28"/>
          <w:highlight w:val="none"/>
        </w:rPr>
        <w:fldChar w:fldCharType="separate"/>
      </w:r>
      <w:r>
        <w:rPr>
          <w:rFonts w:hint="eastAsia" w:ascii="仿宋_GB2312" w:hAnsi="仿宋_GB2312" w:eastAsia="仿宋_GB2312" w:cs="仿宋_GB2312"/>
          <w:color w:val="auto"/>
          <w:sz w:val="28"/>
          <w:szCs w:val="28"/>
          <w:highlight w:val="none"/>
        </w:rPr>
        <w:t>2</w:t>
      </w:r>
      <w:r>
        <w:rPr>
          <w:rFonts w:hint="eastAsia" w:ascii="仿宋_GB2312" w:hAnsi="仿宋_GB2312" w:eastAsia="仿宋_GB2312" w:cs="仿宋_GB2312"/>
          <w:color w:val="auto"/>
          <w:sz w:val="28"/>
          <w:szCs w:val="28"/>
          <w:highlight w:val="none"/>
        </w:rPr>
        <w:fldChar w:fldCharType="end"/>
      </w:r>
      <w:r>
        <w:rPr>
          <w:rFonts w:hint="eastAsia" w:ascii="仿宋_GB2312" w:hAnsi="仿宋_GB2312" w:eastAsia="仿宋_GB2312" w:cs="仿宋_GB2312"/>
          <w:color w:val="auto"/>
          <w:sz w:val="28"/>
          <w:szCs w:val="28"/>
          <w:highlight w:val="none"/>
        </w:rPr>
        <w:fldChar w:fldCharType="end"/>
      </w:r>
    </w:p>
    <w:p>
      <w:pPr>
        <w:pStyle w:val="10"/>
        <w:tabs>
          <w:tab w:val="right" w:leader="dot" w:pos="8844"/>
        </w:tabs>
        <w:spacing w:line="560" w:lineRule="exact"/>
        <w:rPr>
          <w:rFonts w:ascii="仿宋_GB2312" w:hAnsi="仿宋_GB2312" w:eastAsia="仿宋_GB2312" w:cs="仿宋_GB2312"/>
          <w:color w:val="auto"/>
          <w:sz w:val="28"/>
          <w:szCs w:val="28"/>
          <w:highlight w:val="none"/>
        </w:rPr>
      </w:pPr>
      <w:r>
        <w:rPr>
          <w:color w:val="auto"/>
          <w:highlight w:val="none"/>
        </w:rPr>
        <w:fldChar w:fldCharType="begin"/>
      </w:r>
      <w:r>
        <w:rPr>
          <w:color w:val="auto"/>
          <w:highlight w:val="none"/>
        </w:rPr>
        <w:instrText xml:space="preserve"> HYPERLINK \l "_Toc32260" </w:instrText>
      </w:r>
      <w:r>
        <w:rPr>
          <w:color w:val="auto"/>
          <w:highlight w:val="none"/>
        </w:rPr>
        <w:fldChar w:fldCharType="separate"/>
      </w:r>
      <w:r>
        <w:rPr>
          <w:rFonts w:hint="eastAsia" w:ascii="仿宋_GB2312" w:hAnsi="仿宋_GB2312" w:eastAsia="仿宋_GB2312" w:cs="仿宋_GB2312"/>
          <w:color w:val="auto"/>
          <w:kern w:val="0"/>
          <w:sz w:val="28"/>
          <w:szCs w:val="28"/>
          <w:highlight w:val="none"/>
        </w:rPr>
        <w:t>（五）建议</w:t>
      </w:r>
      <w:r>
        <w:rPr>
          <w:rFonts w:hint="eastAsia" w:ascii="仿宋_GB2312" w:hAnsi="仿宋_GB2312" w:eastAsia="仿宋_GB2312" w:cs="仿宋_GB2312"/>
          <w:color w:val="auto"/>
          <w:sz w:val="28"/>
          <w:szCs w:val="28"/>
          <w:highlight w:val="none"/>
        </w:rPr>
        <w:tab/>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 PAGEREF _Toc32260 \h </w:instrText>
      </w:r>
      <w:r>
        <w:rPr>
          <w:rFonts w:hint="eastAsia" w:ascii="仿宋_GB2312" w:hAnsi="仿宋_GB2312" w:eastAsia="仿宋_GB2312" w:cs="仿宋_GB2312"/>
          <w:color w:val="auto"/>
          <w:sz w:val="28"/>
          <w:szCs w:val="28"/>
          <w:highlight w:val="none"/>
        </w:rPr>
        <w:fldChar w:fldCharType="separate"/>
      </w:r>
      <w:r>
        <w:rPr>
          <w:rFonts w:hint="eastAsia" w:ascii="仿宋_GB2312" w:hAnsi="仿宋_GB2312" w:eastAsia="仿宋_GB2312" w:cs="仿宋_GB2312"/>
          <w:color w:val="auto"/>
          <w:sz w:val="28"/>
          <w:szCs w:val="28"/>
          <w:highlight w:val="none"/>
        </w:rPr>
        <w:t>4</w:t>
      </w:r>
      <w:r>
        <w:rPr>
          <w:rFonts w:hint="eastAsia" w:ascii="仿宋_GB2312" w:hAnsi="仿宋_GB2312" w:eastAsia="仿宋_GB2312" w:cs="仿宋_GB2312"/>
          <w:color w:val="auto"/>
          <w:sz w:val="28"/>
          <w:szCs w:val="28"/>
          <w:highlight w:val="none"/>
        </w:rPr>
        <w:fldChar w:fldCharType="end"/>
      </w:r>
      <w:r>
        <w:rPr>
          <w:rFonts w:hint="eastAsia" w:ascii="仿宋_GB2312" w:hAnsi="仿宋_GB2312" w:eastAsia="仿宋_GB2312" w:cs="仿宋_GB2312"/>
          <w:color w:val="auto"/>
          <w:sz w:val="28"/>
          <w:szCs w:val="28"/>
          <w:highlight w:val="none"/>
        </w:rPr>
        <w:fldChar w:fldCharType="end"/>
      </w:r>
    </w:p>
    <w:p>
      <w:pPr>
        <w:pStyle w:val="8"/>
        <w:tabs>
          <w:tab w:val="right" w:leader="dot" w:pos="8844"/>
        </w:tabs>
        <w:spacing w:line="560" w:lineRule="exact"/>
        <w:rPr>
          <w:rFonts w:ascii="仿宋_GB2312" w:hAnsi="仿宋_GB2312" w:eastAsia="仿宋_GB2312" w:cs="仿宋_GB2312"/>
          <w:color w:val="auto"/>
          <w:sz w:val="28"/>
          <w:szCs w:val="28"/>
          <w:highlight w:val="none"/>
        </w:rPr>
      </w:pPr>
      <w:r>
        <w:rPr>
          <w:color w:val="auto"/>
          <w:highlight w:val="none"/>
        </w:rPr>
        <w:fldChar w:fldCharType="begin"/>
      </w:r>
      <w:r>
        <w:rPr>
          <w:color w:val="auto"/>
          <w:highlight w:val="none"/>
        </w:rPr>
        <w:instrText xml:space="preserve"> HYPERLINK \l "_Toc1526" </w:instrText>
      </w:r>
      <w:r>
        <w:rPr>
          <w:color w:val="auto"/>
          <w:highlight w:val="none"/>
        </w:rPr>
        <w:fldChar w:fldCharType="separate"/>
      </w:r>
      <w:r>
        <w:rPr>
          <w:rFonts w:hint="eastAsia" w:ascii="仿宋_GB2312" w:hAnsi="仿宋_GB2312" w:eastAsia="仿宋_GB2312" w:cs="仿宋_GB2312"/>
          <w:b/>
          <w:bCs/>
          <w:color w:val="auto"/>
          <w:sz w:val="28"/>
          <w:szCs w:val="28"/>
          <w:highlight w:val="none"/>
        </w:rPr>
        <w:t>二、 佐证材料</w:t>
      </w:r>
      <w:r>
        <w:rPr>
          <w:rFonts w:hint="eastAsia" w:ascii="仿宋_GB2312" w:hAnsi="仿宋_GB2312" w:eastAsia="仿宋_GB2312" w:cs="仿宋_GB2312"/>
          <w:b/>
          <w:bCs/>
          <w:color w:val="auto"/>
          <w:sz w:val="28"/>
          <w:szCs w:val="28"/>
          <w:highlight w:val="none"/>
        </w:rPr>
        <w:tab/>
      </w:r>
      <w:r>
        <w:rPr>
          <w:rFonts w:hint="eastAsia" w:ascii="仿宋_GB2312" w:hAnsi="仿宋_GB2312" w:eastAsia="仿宋_GB2312" w:cs="仿宋_GB2312"/>
          <w:b/>
          <w:bCs/>
          <w:color w:val="auto"/>
          <w:sz w:val="28"/>
          <w:szCs w:val="28"/>
          <w:highlight w:val="none"/>
        </w:rPr>
        <w:fldChar w:fldCharType="begin"/>
      </w:r>
      <w:r>
        <w:rPr>
          <w:rFonts w:hint="eastAsia" w:ascii="仿宋_GB2312" w:hAnsi="仿宋_GB2312" w:eastAsia="仿宋_GB2312" w:cs="仿宋_GB2312"/>
          <w:b/>
          <w:bCs/>
          <w:color w:val="auto"/>
          <w:sz w:val="28"/>
          <w:szCs w:val="28"/>
          <w:highlight w:val="none"/>
        </w:rPr>
        <w:instrText xml:space="preserve"> PAGEREF _Toc1526 \h </w:instrText>
      </w:r>
      <w:r>
        <w:rPr>
          <w:rFonts w:hint="eastAsia" w:ascii="仿宋_GB2312" w:hAnsi="仿宋_GB2312" w:eastAsia="仿宋_GB2312" w:cs="仿宋_GB2312"/>
          <w:b/>
          <w:bCs/>
          <w:color w:val="auto"/>
          <w:sz w:val="28"/>
          <w:szCs w:val="28"/>
          <w:highlight w:val="none"/>
        </w:rPr>
        <w:fldChar w:fldCharType="separate"/>
      </w:r>
      <w:r>
        <w:rPr>
          <w:rFonts w:hint="eastAsia" w:ascii="仿宋_GB2312" w:hAnsi="仿宋_GB2312" w:eastAsia="仿宋_GB2312" w:cs="仿宋_GB2312"/>
          <w:b/>
          <w:bCs/>
          <w:color w:val="auto"/>
          <w:sz w:val="28"/>
          <w:szCs w:val="28"/>
          <w:highlight w:val="none"/>
        </w:rPr>
        <w:t>12</w:t>
      </w:r>
      <w:r>
        <w:rPr>
          <w:rFonts w:hint="eastAsia" w:ascii="仿宋_GB2312" w:hAnsi="仿宋_GB2312" w:eastAsia="仿宋_GB2312" w:cs="仿宋_GB2312"/>
          <w:b/>
          <w:bCs/>
          <w:color w:val="auto"/>
          <w:sz w:val="28"/>
          <w:szCs w:val="28"/>
          <w:highlight w:val="none"/>
        </w:rPr>
        <w:fldChar w:fldCharType="end"/>
      </w:r>
      <w:r>
        <w:rPr>
          <w:rFonts w:hint="eastAsia" w:ascii="仿宋_GB2312" w:hAnsi="仿宋_GB2312" w:eastAsia="仿宋_GB2312" w:cs="仿宋_GB2312"/>
          <w:b/>
          <w:bCs/>
          <w:color w:val="auto"/>
          <w:sz w:val="28"/>
          <w:szCs w:val="28"/>
          <w:highlight w:val="none"/>
        </w:rPr>
        <w:fldChar w:fldCharType="end"/>
      </w:r>
    </w:p>
    <w:p>
      <w:pPr>
        <w:pStyle w:val="10"/>
        <w:tabs>
          <w:tab w:val="right" w:leader="dot" w:pos="8844"/>
        </w:tabs>
        <w:spacing w:line="560" w:lineRule="exact"/>
        <w:rPr>
          <w:rFonts w:ascii="仿宋_GB2312" w:hAnsi="仿宋_GB2312" w:eastAsia="仿宋_GB2312" w:cs="仿宋_GB2312"/>
          <w:color w:val="auto"/>
          <w:sz w:val="28"/>
          <w:szCs w:val="28"/>
          <w:highlight w:val="none"/>
        </w:rPr>
      </w:pPr>
      <w:r>
        <w:rPr>
          <w:color w:val="auto"/>
          <w:highlight w:val="none"/>
        </w:rPr>
        <w:fldChar w:fldCharType="begin"/>
      </w:r>
      <w:r>
        <w:rPr>
          <w:color w:val="auto"/>
          <w:highlight w:val="none"/>
        </w:rPr>
        <w:instrText xml:space="preserve"> HYPERLINK \l "_Toc23347" </w:instrText>
      </w:r>
      <w:r>
        <w:rPr>
          <w:color w:val="auto"/>
          <w:highlight w:val="none"/>
        </w:rPr>
        <w:fldChar w:fldCharType="separate"/>
      </w:r>
      <w:r>
        <w:rPr>
          <w:rFonts w:hint="eastAsia" w:ascii="仿宋_GB2312" w:hAnsi="仿宋_GB2312" w:eastAsia="仿宋_GB2312" w:cs="仿宋_GB2312"/>
          <w:color w:val="auto"/>
          <w:sz w:val="28"/>
          <w:szCs w:val="28"/>
          <w:highlight w:val="none"/>
        </w:rPr>
        <w:t>（一） 基本情况</w:t>
      </w:r>
      <w:r>
        <w:rPr>
          <w:rFonts w:hint="eastAsia" w:ascii="仿宋_GB2312" w:hAnsi="仿宋_GB2312" w:eastAsia="仿宋_GB2312" w:cs="仿宋_GB2312"/>
          <w:color w:val="auto"/>
          <w:sz w:val="28"/>
          <w:szCs w:val="28"/>
          <w:highlight w:val="none"/>
        </w:rPr>
        <w:tab/>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 PAGEREF _Toc23347 \h </w:instrText>
      </w:r>
      <w:r>
        <w:rPr>
          <w:rFonts w:hint="eastAsia" w:ascii="仿宋_GB2312" w:hAnsi="仿宋_GB2312" w:eastAsia="仿宋_GB2312" w:cs="仿宋_GB2312"/>
          <w:color w:val="auto"/>
          <w:sz w:val="28"/>
          <w:szCs w:val="28"/>
          <w:highlight w:val="none"/>
        </w:rPr>
        <w:fldChar w:fldCharType="separate"/>
      </w:r>
      <w:r>
        <w:rPr>
          <w:rFonts w:hint="eastAsia" w:ascii="仿宋_GB2312" w:hAnsi="仿宋_GB2312" w:eastAsia="仿宋_GB2312" w:cs="仿宋_GB2312"/>
          <w:color w:val="auto"/>
          <w:sz w:val="28"/>
          <w:szCs w:val="28"/>
          <w:highlight w:val="none"/>
        </w:rPr>
        <w:t>12</w:t>
      </w:r>
      <w:r>
        <w:rPr>
          <w:rFonts w:hint="eastAsia" w:ascii="仿宋_GB2312" w:hAnsi="仿宋_GB2312" w:eastAsia="仿宋_GB2312" w:cs="仿宋_GB2312"/>
          <w:color w:val="auto"/>
          <w:sz w:val="28"/>
          <w:szCs w:val="28"/>
          <w:highlight w:val="none"/>
        </w:rPr>
        <w:fldChar w:fldCharType="end"/>
      </w:r>
      <w:r>
        <w:rPr>
          <w:rFonts w:hint="eastAsia" w:ascii="仿宋_GB2312" w:hAnsi="仿宋_GB2312" w:eastAsia="仿宋_GB2312" w:cs="仿宋_GB2312"/>
          <w:color w:val="auto"/>
          <w:sz w:val="28"/>
          <w:szCs w:val="28"/>
          <w:highlight w:val="none"/>
        </w:rPr>
        <w:fldChar w:fldCharType="end"/>
      </w:r>
    </w:p>
    <w:p>
      <w:pPr>
        <w:pStyle w:val="4"/>
        <w:tabs>
          <w:tab w:val="right" w:leader="dot" w:pos="8844"/>
          <w:tab w:val="clear" w:pos="9062"/>
        </w:tabs>
        <w:spacing w:line="560" w:lineRule="exact"/>
        <w:rPr>
          <w:rFonts w:ascii="仿宋_GB2312" w:hAnsi="仿宋_GB2312" w:eastAsia="仿宋_GB2312" w:cs="仿宋_GB2312"/>
          <w:b w:val="0"/>
          <w:color w:val="auto"/>
          <w:highlight w:val="none"/>
        </w:rPr>
      </w:pPr>
      <w:r>
        <w:rPr>
          <w:color w:val="auto"/>
          <w:highlight w:val="none"/>
        </w:rPr>
        <w:fldChar w:fldCharType="begin"/>
      </w:r>
      <w:r>
        <w:rPr>
          <w:color w:val="auto"/>
          <w:highlight w:val="none"/>
        </w:rPr>
        <w:instrText xml:space="preserve"> HYPERLINK \l "_Toc1585" </w:instrText>
      </w:r>
      <w:r>
        <w:rPr>
          <w:color w:val="auto"/>
          <w:highlight w:val="none"/>
        </w:rPr>
        <w:fldChar w:fldCharType="separate"/>
      </w:r>
      <w:r>
        <w:rPr>
          <w:rFonts w:hint="eastAsia" w:ascii="仿宋_GB2312" w:hAnsi="仿宋_GB2312" w:eastAsia="仿宋_GB2312" w:cs="仿宋_GB2312"/>
          <w:b w:val="0"/>
          <w:color w:val="auto"/>
          <w:highlight w:val="none"/>
        </w:rPr>
        <w:t>1.项目立项背景及目的</w:t>
      </w:r>
      <w:r>
        <w:rPr>
          <w:rFonts w:hint="eastAsia" w:ascii="仿宋_GB2312" w:hAnsi="仿宋_GB2312" w:eastAsia="仿宋_GB2312" w:cs="仿宋_GB2312"/>
          <w:b w:val="0"/>
          <w:color w:val="auto"/>
          <w:highlight w:val="none"/>
        </w:rPr>
        <w:tab/>
      </w:r>
      <w:r>
        <w:rPr>
          <w:rFonts w:hint="eastAsia" w:ascii="仿宋_GB2312" w:hAnsi="仿宋_GB2312" w:eastAsia="仿宋_GB2312" w:cs="仿宋_GB2312"/>
          <w:b w:val="0"/>
          <w:color w:val="auto"/>
          <w:highlight w:val="none"/>
        </w:rPr>
        <w:fldChar w:fldCharType="begin"/>
      </w:r>
      <w:r>
        <w:rPr>
          <w:rFonts w:hint="eastAsia" w:ascii="仿宋_GB2312" w:hAnsi="仿宋_GB2312" w:eastAsia="仿宋_GB2312" w:cs="仿宋_GB2312"/>
          <w:b w:val="0"/>
          <w:color w:val="auto"/>
          <w:highlight w:val="none"/>
        </w:rPr>
        <w:instrText xml:space="preserve"> PAGEREF _Toc1585 \h </w:instrText>
      </w:r>
      <w:r>
        <w:rPr>
          <w:rFonts w:hint="eastAsia" w:ascii="仿宋_GB2312" w:hAnsi="仿宋_GB2312" w:eastAsia="仿宋_GB2312" w:cs="仿宋_GB2312"/>
          <w:b w:val="0"/>
          <w:color w:val="auto"/>
          <w:highlight w:val="none"/>
        </w:rPr>
        <w:fldChar w:fldCharType="separate"/>
      </w:r>
      <w:r>
        <w:rPr>
          <w:rFonts w:hint="eastAsia" w:ascii="仿宋_GB2312" w:hAnsi="仿宋_GB2312" w:eastAsia="仿宋_GB2312" w:cs="仿宋_GB2312"/>
          <w:b w:val="0"/>
          <w:color w:val="auto"/>
          <w:highlight w:val="none"/>
        </w:rPr>
        <w:t>12</w:t>
      </w:r>
      <w:r>
        <w:rPr>
          <w:rFonts w:hint="eastAsia" w:ascii="仿宋_GB2312" w:hAnsi="仿宋_GB2312" w:eastAsia="仿宋_GB2312" w:cs="仿宋_GB2312"/>
          <w:b w:val="0"/>
          <w:color w:val="auto"/>
          <w:highlight w:val="none"/>
        </w:rPr>
        <w:fldChar w:fldCharType="end"/>
      </w:r>
      <w:r>
        <w:rPr>
          <w:rFonts w:hint="eastAsia" w:ascii="仿宋_GB2312" w:hAnsi="仿宋_GB2312" w:eastAsia="仿宋_GB2312" w:cs="仿宋_GB2312"/>
          <w:b w:val="0"/>
          <w:color w:val="auto"/>
          <w:highlight w:val="none"/>
        </w:rPr>
        <w:fldChar w:fldCharType="end"/>
      </w:r>
    </w:p>
    <w:p>
      <w:pPr>
        <w:pStyle w:val="4"/>
        <w:tabs>
          <w:tab w:val="right" w:leader="dot" w:pos="8844"/>
          <w:tab w:val="clear" w:pos="9062"/>
        </w:tabs>
        <w:spacing w:line="560" w:lineRule="exact"/>
        <w:rPr>
          <w:rFonts w:ascii="仿宋_GB2312" w:hAnsi="仿宋_GB2312" w:eastAsia="仿宋_GB2312" w:cs="仿宋_GB2312"/>
          <w:b w:val="0"/>
          <w:color w:val="auto"/>
          <w:highlight w:val="none"/>
        </w:rPr>
      </w:pPr>
      <w:r>
        <w:rPr>
          <w:color w:val="auto"/>
          <w:highlight w:val="none"/>
        </w:rPr>
        <w:fldChar w:fldCharType="begin"/>
      </w:r>
      <w:r>
        <w:rPr>
          <w:color w:val="auto"/>
          <w:highlight w:val="none"/>
        </w:rPr>
        <w:instrText xml:space="preserve"> HYPERLINK \l "_Toc28487" </w:instrText>
      </w:r>
      <w:r>
        <w:rPr>
          <w:color w:val="auto"/>
          <w:highlight w:val="none"/>
        </w:rPr>
        <w:fldChar w:fldCharType="separate"/>
      </w:r>
      <w:r>
        <w:rPr>
          <w:rFonts w:hint="eastAsia" w:ascii="仿宋_GB2312" w:hAnsi="仿宋_GB2312" w:eastAsia="仿宋_GB2312" w:cs="仿宋_GB2312"/>
          <w:b w:val="0"/>
          <w:color w:val="auto"/>
          <w:highlight w:val="none"/>
        </w:rPr>
        <w:t>2.年度项目总体绩效目标</w:t>
      </w:r>
      <w:r>
        <w:rPr>
          <w:rFonts w:hint="eastAsia" w:ascii="仿宋_GB2312" w:hAnsi="仿宋_GB2312" w:eastAsia="仿宋_GB2312" w:cs="仿宋_GB2312"/>
          <w:b w:val="0"/>
          <w:color w:val="auto"/>
          <w:highlight w:val="none"/>
        </w:rPr>
        <w:tab/>
      </w:r>
      <w:r>
        <w:rPr>
          <w:rFonts w:hint="eastAsia" w:ascii="仿宋_GB2312" w:hAnsi="仿宋_GB2312" w:eastAsia="仿宋_GB2312" w:cs="仿宋_GB2312"/>
          <w:b w:val="0"/>
          <w:color w:val="auto"/>
          <w:highlight w:val="none"/>
        </w:rPr>
        <w:fldChar w:fldCharType="begin"/>
      </w:r>
      <w:r>
        <w:rPr>
          <w:rFonts w:hint="eastAsia" w:ascii="仿宋_GB2312" w:hAnsi="仿宋_GB2312" w:eastAsia="仿宋_GB2312" w:cs="仿宋_GB2312"/>
          <w:b w:val="0"/>
          <w:color w:val="auto"/>
          <w:highlight w:val="none"/>
        </w:rPr>
        <w:instrText xml:space="preserve"> PAGEREF _Toc28487 \h </w:instrText>
      </w:r>
      <w:r>
        <w:rPr>
          <w:rFonts w:hint="eastAsia" w:ascii="仿宋_GB2312" w:hAnsi="仿宋_GB2312" w:eastAsia="仿宋_GB2312" w:cs="仿宋_GB2312"/>
          <w:b w:val="0"/>
          <w:color w:val="auto"/>
          <w:highlight w:val="none"/>
        </w:rPr>
        <w:fldChar w:fldCharType="separate"/>
      </w:r>
      <w:r>
        <w:rPr>
          <w:rFonts w:hint="eastAsia" w:ascii="仿宋_GB2312" w:hAnsi="仿宋_GB2312" w:eastAsia="仿宋_GB2312" w:cs="仿宋_GB2312"/>
          <w:b w:val="0"/>
          <w:color w:val="auto"/>
          <w:highlight w:val="none"/>
        </w:rPr>
        <w:t>12</w:t>
      </w:r>
      <w:r>
        <w:rPr>
          <w:rFonts w:hint="eastAsia" w:ascii="仿宋_GB2312" w:hAnsi="仿宋_GB2312" w:eastAsia="仿宋_GB2312" w:cs="仿宋_GB2312"/>
          <w:b w:val="0"/>
          <w:color w:val="auto"/>
          <w:highlight w:val="none"/>
        </w:rPr>
        <w:fldChar w:fldCharType="end"/>
      </w:r>
      <w:r>
        <w:rPr>
          <w:rFonts w:hint="eastAsia" w:ascii="仿宋_GB2312" w:hAnsi="仿宋_GB2312" w:eastAsia="仿宋_GB2312" w:cs="仿宋_GB2312"/>
          <w:b w:val="0"/>
          <w:color w:val="auto"/>
          <w:highlight w:val="none"/>
        </w:rPr>
        <w:fldChar w:fldCharType="end"/>
      </w:r>
    </w:p>
    <w:p>
      <w:pPr>
        <w:pStyle w:val="4"/>
        <w:tabs>
          <w:tab w:val="right" w:leader="dot" w:pos="8844"/>
          <w:tab w:val="clear" w:pos="9062"/>
        </w:tabs>
        <w:spacing w:line="560" w:lineRule="exact"/>
        <w:rPr>
          <w:rFonts w:ascii="仿宋_GB2312" w:hAnsi="仿宋_GB2312" w:eastAsia="仿宋_GB2312" w:cs="仿宋_GB2312"/>
          <w:b w:val="0"/>
          <w:color w:val="auto"/>
          <w:highlight w:val="none"/>
        </w:rPr>
      </w:pPr>
      <w:r>
        <w:rPr>
          <w:color w:val="auto"/>
          <w:highlight w:val="none"/>
        </w:rPr>
        <w:fldChar w:fldCharType="begin"/>
      </w:r>
      <w:r>
        <w:rPr>
          <w:color w:val="auto"/>
          <w:highlight w:val="none"/>
        </w:rPr>
        <w:instrText xml:space="preserve"> HYPERLINK \l "_Toc30530" </w:instrText>
      </w:r>
      <w:r>
        <w:rPr>
          <w:color w:val="auto"/>
          <w:highlight w:val="none"/>
        </w:rPr>
        <w:fldChar w:fldCharType="separate"/>
      </w:r>
      <w:r>
        <w:rPr>
          <w:rFonts w:hint="eastAsia" w:ascii="仿宋_GB2312" w:hAnsi="仿宋_GB2312" w:eastAsia="仿宋_GB2312" w:cs="仿宋_GB2312"/>
          <w:b w:val="0"/>
          <w:color w:val="auto"/>
          <w:highlight w:val="none"/>
        </w:rPr>
        <w:t>3.项目资金的预算安排情况</w:t>
      </w:r>
      <w:r>
        <w:rPr>
          <w:rFonts w:hint="eastAsia" w:ascii="仿宋_GB2312" w:hAnsi="仿宋_GB2312" w:eastAsia="仿宋_GB2312" w:cs="仿宋_GB2312"/>
          <w:b w:val="0"/>
          <w:color w:val="auto"/>
          <w:highlight w:val="none"/>
        </w:rPr>
        <w:tab/>
      </w:r>
      <w:r>
        <w:rPr>
          <w:rFonts w:hint="eastAsia" w:ascii="仿宋_GB2312" w:hAnsi="仿宋_GB2312" w:eastAsia="仿宋_GB2312" w:cs="仿宋_GB2312"/>
          <w:b w:val="0"/>
          <w:color w:val="auto"/>
          <w:highlight w:val="none"/>
        </w:rPr>
        <w:fldChar w:fldCharType="begin"/>
      </w:r>
      <w:r>
        <w:rPr>
          <w:rFonts w:hint="eastAsia" w:ascii="仿宋_GB2312" w:hAnsi="仿宋_GB2312" w:eastAsia="仿宋_GB2312" w:cs="仿宋_GB2312"/>
          <w:b w:val="0"/>
          <w:color w:val="auto"/>
          <w:highlight w:val="none"/>
        </w:rPr>
        <w:instrText xml:space="preserve"> PAGEREF _Toc30530 \h </w:instrText>
      </w:r>
      <w:r>
        <w:rPr>
          <w:rFonts w:hint="eastAsia" w:ascii="仿宋_GB2312" w:hAnsi="仿宋_GB2312" w:eastAsia="仿宋_GB2312" w:cs="仿宋_GB2312"/>
          <w:b w:val="0"/>
          <w:color w:val="auto"/>
          <w:highlight w:val="none"/>
        </w:rPr>
        <w:fldChar w:fldCharType="separate"/>
      </w:r>
      <w:r>
        <w:rPr>
          <w:rFonts w:hint="eastAsia" w:ascii="仿宋_GB2312" w:hAnsi="仿宋_GB2312" w:eastAsia="仿宋_GB2312" w:cs="仿宋_GB2312"/>
          <w:b w:val="0"/>
          <w:color w:val="auto"/>
          <w:highlight w:val="none"/>
        </w:rPr>
        <w:t>12</w:t>
      </w:r>
      <w:r>
        <w:rPr>
          <w:rFonts w:hint="eastAsia" w:ascii="仿宋_GB2312" w:hAnsi="仿宋_GB2312" w:eastAsia="仿宋_GB2312" w:cs="仿宋_GB2312"/>
          <w:b w:val="0"/>
          <w:color w:val="auto"/>
          <w:highlight w:val="none"/>
        </w:rPr>
        <w:fldChar w:fldCharType="end"/>
      </w:r>
      <w:r>
        <w:rPr>
          <w:rFonts w:hint="eastAsia" w:ascii="仿宋_GB2312" w:hAnsi="仿宋_GB2312" w:eastAsia="仿宋_GB2312" w:cs="仿宋_GB2312"/>
          <w:b w:val="0"/>
          <w:color w:val="auto"/>
          <w:highlight w:val="none"/>
        </w:rPr>
        <w:fldChar w:fldCharType="end"/>
      </w:r>
    </w:p>
    <w:p>
      <w:pPr>
        <w:pStyle w:val="10"/>
        <w:tabs>
          <w:tab w:val="right" w:leader="dot" w:pos="8844"/>
        </w:tabs>
        <w:spacing w:line="560" w:lineRule="exact"/>
        <w:rPr>
          <w:rFonts w:ascii="仿宋_GB2312" w:hAnsi="仿宋_GB2312" w:eastAsia="仿宋_GB2312" w:cs="仿宋_GB2312"/>
          <w:color w:val="auto"/>
          <w:sz w:val="28"/>
          <w:szCs w:val="28"/>
          <w:highlight w:val="none"/>
        </w:rPr>
      </w:pPr>
      <w:r>
        <w:rPr>
          <w:color w:val="auto"/>
          <w:highlight w:val="none"/>
        </w:rPr>
        <w:fldChar w:fldCharType="begin"/>
      </w:r>
      <w:r>
        <w:rPr>
          <w:color w:val="auto"/>
          <w:highlight w:val="none"/>
        </w:rPr>
        <w:instrText xml:space="preserve"> HYPERLINK \l "_Toc20815" </w:instrText>
      </w:r>
      <w:r>
        <w:rPr>
          <w:color w:val="auto"/>
          <w:highlight w:val="none"/>
        </w:rPr>
        <w:fldChar w:fldCharType="separate"/>
      </w:r>
      <w:r>
        <w:rPr>
          <w:rFonts w:hint="eastAsia" w:ascii="仿宋_GB2312" w:hAnsi="仿宋_GB2312" w:eastAsia="仿宋_GB2312" w:cs="仿宋_GB2312"/>
          <w:color w:val="auto"/>
          <w:sz w:val="28"/>
          <w:szCs w:val="28"/>
          <w:highlight w:val="none"/>
        </w:rPr>
        <w:t>（二）绩效评价工作开展情况</w:t>
      </w:r>
      <w:r>
        <w:rPr>
          <w:rFonts w:hint="eastAsia" w:ascii="仿宋_GB2312" w:hAnsi="仿宋_GB2312" w:eastAsia="仿宋_GB2312" w:cs="仿宋_GB2312"/>
          <w:color w:val="auto"/>
          <w:sz w:val="28"/>
          <w:szCs w:val="28"/>
          <w:highlight w:val="none"/>
        </w:rPr>
        <w:tab/>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 PAGEREF _Toc20815 \h </w:instrText>
      </w:r>
      <w:r>
        <w:rPr>
          <w:rFonts w:hint="eastAsia" w:ascii="仿宋_GB2312" w:hAnsi="仿宋_GB2312" w:eastAsia="仿宋_GB2312" w:cs="仿宋_GB2312"/>
          <w:color w:val="auto"/>
          <w:sz w:val="28"/>
          <w:szCs w:val="28"/>
          <w:highlight w:val="none"/>
        </w:rPr>
        <w:fldChar w:fldCharType="separate"/>
      </w:r>
      <w:r>
        <w:rPr>
          <w:rFonts w:hint="eastAsia" w:ascii="仿宋_GB2312" w:hAnsi="仿宋_GB2312" w:eastAsia="仿宋_GB2312" w:cs="仿宋_GB2312"/>
          <w:color w:val="auto"/>
          <w:sz w:val="28"/>
          <w:szCs w:val="28"/>
          <w:highlight w:val="none"/>
        </w:rPr>
        <w:t>13</w:t>
      </w:r>
      <w:r>
        <w:rPr>
          <w:rFonts w:hint="eastAsia" w:ascii="仿宋_GB2312" w:hAnsi="仿宋_GB2312" w:eastAsia="仿宋_GB2312" w:cs="仿宋_GB2312"/>
          <w:color w:val="auto"/>
          <w:sz w:val="28"/>
          <w:szCs w:val="28"/>
          <w:highlight w:val="none"/>
        </w:rPr>
        <w:fldChar w:fldCharType="end"/>
      </w:r>
      <w:r>
        <w:rPr>
          <w:rFonts w:hint="eastAsia" w:ascii="仿宋_GB2312" w:hAnsi="仿宋_GB2312" w:eastAsia="仿宋_GB2312" w:cs="仿宋_GB2312"/>
          <w:color w:val="auto"/>
          <w:sz w:val="28"/>
          <w:szCs w:val="28"/>
          <w:highlight w:val="none"/>
        </w:rPr>
        <w:fldChar w:fldCharType="end"/>
      </w:r>
    </w:p>
    <w:p>
      <w:pPr>
        <w:pStyle w:val="4"/>
        <w:tabs>
          <w:tab w:val="right" w:leader="dot" w:pos="8844"/>
          <w:tab w:val="clear" w:pos="9062"/>
        </w:tabs>
        <w:spacing w:line="560" w:lineRule="exact"/>
        <w:rPr>
          <w:rFonts w:ascii="仿宋_GB2312" w:hAnsi="仿宋_GB2312" w:eastAsia="仿宋_GB2312" w:cs="仿宋_GB2312"/>
          <w:b w:val="0"/>
          <w:color w:val="auto"/>
          <w:highlight w:val="none"/>
        </w:rPr>
      </w:pPr>
      <w:r>
        <w:rPr>
          <w:color w:val="auto"/>
          <w:highlight w:val="none"/>
        </w:rPr>
        <w:fldChar w:fldCharType="begin"/>
      </w:r>
      <w:r>
        <w:rPr>
          <w:color w:val="auto"/>
          <w:highlight w:val="none"/>
        </w:rPr>
        <w:instrText xml:space="preserve"> HYPERLINK \l "_Toc31260" </w:instrText>
      </w:r>
      <w:r>
        <w:rPr>
          <w:color w:val="auto"/>
          <w:highlight w:val="none"/>
        </w:rPr>
        <w:fldChar w:fldCharType="separate"/>
      </w:r>
      <w:r>
        <w:rPr>
          <w:rFonts w:hint="eastAsia" w:ascii="仿宋_GB2312" w:hAnsi="仿宋_GB2312" w:eastAsia="仿宋_GB2312" w:cs="仿宋_GB2312"/>
          <w:b w:val="0"/>
          <w:color w:val="auto"/>
          <w:highlight w:val="none"/>
        </w:rPr>
        <w:t>1. 评价目的</w:t>
      </w:r>
      <w:r>
        <w:rPr>
          <w:rFonts w:hint="eastAsia" w:ascii="仿宋_GB2312" w:hAnsi="仿宋_GB2312" w:eastAsia="仿宋_GB2312" w:cs="仿宋_GB2312"/>
          <w:b w:val="0"/>
          <w:color w:val="auto"/>
          <w:highlight w:val="none"/>
        </w:rPr>
        <w:tab/>
      </w:r>
      <w:r>
        <w:rPr>
          <w:rFonts w:hint="eastAsia" w:ascii="仿宋_GB2312" w:hAnsi="仿宋_GB2312" w:eastAsia="仿宋_GB2312" w:cs="仿宋_GB2312"/>
          <w:b w:val="0"/>
          <w:color w:val="auto"/>
          <w:highlight w:val="none"/>
        </w:rPr>
        <w:fldChar w:fldCharType="begin"/>
      </w:r>
      <w:r>
        <w:rPr>
          <w:rFonts w:hint="eastAsia" w:ascii="仿宋_GB2312" w:hAnsi="仿宋_GB2312" w:eastAsia="仿宋_GB2312" w:cs="仿宋_GB2312"/>
          <w:b w:val="0"/>
          <w:color w:val="auto"/>
          <w:highlight w:val="none"/>
        </w:rPr>
        <w:instrText xml:space="preserve"> PAGEREF _Toc31260 \h </w:instrText>
      </w:r>
      <w:r>
        <w:rPr>
          <w:rFonts w:hint="eastAsia" w:ascii="仿宋_GB2312" w:hAnsi="仿宋_GB2312" w:eastAsia="仿宋_GB2312" w:cs="仿宋_GB2312"/>
          <w:b w:val="0"/>
          <w:color w:val="auto"/>
          <w:highlight w:val="none"/>
        </w:rPr>
        <w:fldChar w:fldCharType="separate"/>
      </w:r>
      <w:r>
        <w:rPr>
          <w:rFonts w:hint="eastAsia" w:ascii="仿宋_GB2312" w:hAnsi="仿宋_GB2312" w:eastAsia="仿宋_GB2312" w:cs="仿宋_GB2312"/>
          <w:b w:val="0"/>
          <w:color w:val="auto"/>
          <w:highlight w:val="none"/>
        </w:rPr>
        <w:t>13</w:t>
      </w:r>
      <w:r>
        <w:rPr>
          <w:rFonts w:hint="eastAsia" w:ascii="仿宋_GB2312" w:hAnsi="仿宋_GB2312" w:eastAsia="仿宋_GB2312" w:cs="仿宋_GB2312"/>
          <w:b w:val="0"/>
          <w:color w:val="auto"/>
          <w:highlight w:val="none"/>
        </w:rPr>
        <w:fldChar w:fldCharType="end"/>
      </w:r>
      <w:r>
        <w:rPr>
          <w:rFonts w:hint="eastAsia" w:ascii="仿宋_GB2312" w:hAnsi="仿宋_GB2312" w:eastAsia="仿宋_GB2312" w:cs="仿宋_GB2312"/>
          <w:b w:val="0"/>
          <w:color w:val="auto"/>
          <w:highlight w:val="none"/>
        </w:rPr>
        <w:fldChar w:fldCharType="end"/>
      </w:r>
    </w:p>
    <w:p>
      <w:pPr>
        <w:pStyle w:val="4"/>
        <w:tabs>
          <w:tab w:val="right" w:leader="dot" w:pos="8844"/>
          <w:tab w:val="clear" w:pos="9062"/>
        </w:tabs>
        <w:spacing w:line="560" w:lineRule="exact"/>
        <w:rPr>
          <w:rFonts w:ascii="仿宋_GB2312" w:hAnsi="仿宋_GB2312" w:eastAsia="仿宋_GB2312" w:cs="仿宋_GB2312"/>
          <w:b w:val="0"/>
          <w:color w:val="auto"/>
          <w:highlight w:val="none"/>
        </w:rPr>
      </w:pPr>
      <w:r>
        <w:rPr>
          <w:color w:val="auto"/>
          <w:highlight w:val="none"/>
        </w:rPr>
        <w:fldChar w:fldCharType="begin"/>
      </w:r>
      <w:r>
        <w:rPr>
          <w:color w:val="auto"/>
          <w:highlight w:val="none"/>
        </w:rPr>
        <w:instrText xml:space="preserve"> HYPERLINK \l "_Toc29704" </w:instrText>
      </w:r>
      <w:r>
        <w:rPr>
          <w:color w:val="auto"/>
          <w:highlight w:val="none"/>
        </w:rPr>
        <w:fldChar w:fldCharType="separate"/>
      </w:r>
      <w:r>
        <w:rPr>
          <w:rFonts w:hint="eastAsia" w:ascii="仿宋_GB2312" w:hAnsi="仿宋_GB2312" w:eastAsia="仿宋_GB2312" w:cs="仿宋_GB2312"/>
          <w:b w:val="0"/>
          <w:color w:val="auto"/>
          <w:highlight w:val="none"/>
        </w:rPr>
        <w:t>2.评价对象与范围</w:t>
      </w:r>
      <w:r>
        <w:rPr>
          <w:rFonts w:hint="eastAsia" w:ascii="仿宋_GB2312" w:hAnsi="仿宋_GB2312" w:eastAsia="仿宋_GB2312" w:cs="仿宋_GB2312"/>
          <w:b w:val="0"/>
          <w:color w:val="auto"/>
          <w:highlight w:val="none"/>
        </w:rPr>
        <w:tab/>
      </w:r>
      <w:r>
        <w:rPr>
          <w:rFonts w:hint="eastAsia" w:ascii="仿宋_GB2312" w:hAnsi="仿宋_GB2312" w:eastAsia="仿宋_GB2312" w:cs="仿宋_GB2312"/>
          <w:b w:val="0"/>
          <w:color w:val="auto"/>
          <w:highlight w:val="none"/>
        </w:rPr>
        <w:fldChar w:fldCharType="begin"/>
      </w:r>
      <w:r>
        <w:rPr>
          <w:rFonts w:hint="eastAsia" w:ascii="仿宋_GB2312" w:hAnsi="仿宋_GB2312" w:eastAsia="仿宋_GB2312" w:cs="仿宋_GB2312"/>
          <w:b w:val="0"/>
          <w:color w:val="auto"/>
          <w:highlight w:val="none"/>
        </w:rPr>
        <w:instrText xml:space="preserve"> PAGEREF _Toc29704 \h </w:instrText>
      </w:r>
      <w:r>
        <w:rPr>
          <w:rFonts w:hint="eastAsia" w:ascii="仿宋_GB2312" w:hAnsi="仿宋_GB2312" w:eastAsia="仿宋_GB2312" w:cs="仿宋_GB2312"/>
          <w:b w:val="0"/>
          <w:color w:val="auto"/>
          <w:highlight w:val="none"/>
        </w:rPr>
        <w:fldChar w:fldCharType="separate"/>
      </w:r>
      <w:r>
        <w:rPr>
          <w:rFonts w:hint="eastAsia" w:ascii="仿宋_GB2312" w:hAnsi="仿宋_GB2312" w:eastAsia="仿宋_GB2312" w:cs="仿宋_GB2312"/>
          <w:b w:val="0"/>
          <w:color w:val="auto"/>
          <w:highlight w:val="none"/>
        </w:rPr>
        <w:t>14</w:t>
      </w:r>
      <w:r>
        <w:rPr>
          <w:rFonts w:hint="eastAsia" w:ascii="仿宋_GB2312" w:hAnsi="仿宋_GB2312" w:eastAsia="仿宋_GB2312" w:cs="仿宋_GB2312"/>
          <w:b w:val="0"/>
          <w:color w:val="auto"/>
          <w:highlight w:val="none"/>
        </w:rPr>
        <w:fldChar w:fldCharType="end"/>
      </w:r>
      <w:r>
        <w:rPr>
          <w:rFonts w:hint="eastAsia" w:ascii="仿宋_GB2312" w:hAnsi="仿宋_GB2312" w:eastAsia="仿宋_GB2312" w:cs="仿宋_GB2312"/>
          <w:b w:val="0"/>
          <w:color w:val="auto"/>
          <w:highlight w:val="none"/>
        </w:rPr>
        <w:fldChar w:fldCharType="end"/>
      </w:r>
    </w:p>
    <w:p>
      <w:pPr>
        <w:pStyle w:val="4"/>
        <w:tabs>
          <w:tab w:val="right" w:leader="dot" w:pos="8844"/>
          <w:tab w:val="clear" w:pos="9062"/>
        </w:tabs>
        <w:spacing w:line="560" w:lineRule="exact"/>
        <w:rPr>
          <w:rFonts w:ascii="仿宋_GB2312" w:hAnsi="仿宋_GB2312" w:eastAsia="仿宋_GB2312" w:cs="仿宋_GB2312"/>
          <w:b w:val="0"/>
          <w:color w:val="auto"/>
          <w:highlight w:val="none"/>
        </w:rPr>
      </w:pPr>
      <w:r>
        <w:rPr>
          <w:color w:val="auto"/>
          <w:highlight w:val="none"/>
        </w:rPr>
        <w:fldChar w:fldCharType="begin"/>
      </w:r>
      <w:r>
        <w:rPr>
          <w:color w:val="auto"/>
          <w:highlight w:val="none"/>
        </w:rPr>
        <w:instrText xml:space="preserve"> HYPERLINK \l "_Toc7613" </w:instrText>
      </w:r>
      <w:r>
        <w:rPr>
          <w:color w:val="auto"/>
          <w:highlight w:val="none"/>
        </w:rPr>
        <w:fldChar w:fldCharType="separate"/>
      </w:r>
      <w:r>
        <w:rPr>
          <w:rFonts w:hint="eastAsia" w:ascii="仿宋_GB2312" w:hAnsi="仿宋_GB2312" w:eastAsia="仿宋_GB2312" w:cs="仿宋_GB2312"/>
          <w:b w:val="0"/>
          <w:color w:val="auto"/>
          <w:highlight w:val="none"/>
        </w:rPr>
        <w:t>3.评价内容</w:t>
      </w:r>
      <w:r>
        <w:rPr>
          <w:rFonts w:hint="eastAsia" w:ascii="仿宋_GB2312" w:hAnsi="仿宋_GB2312" w:eastAsia="仿宋_GB2312" w:cs="仿宋_GB2312"/>
          <w:b w:val="0"/>
          <w:color w:val="auto"/>
          <w:highlight w:val="none"/>
        </w:rPr>
        <w:tab/>
      </w:r>
      <w:r>
        <w:rPr>
          <w:rFonts w:hint="eastAsia" w:ascii="仿宋_GB2312" w:hAnsi="仿宋_GB2312" w:eastAsia="仿宋_GB2312" w:cs="仿宋_GB2312"/>
          <w:b w:val="0"/>
          <w:color w:val="auto"/>
          <w:highlight w:val="none"/>
        </w:rPr>
        <w:fldChar w:fldCharType="begin"/>
      </w:r>
      <w:r>
        <w:rPr>
          <w:rFonts w:hint="eastAsia" w:ascii="仿宋_GB2312" w:hAnsi="仿宋_GB2312" w:eastAsia="仿宋_GB2312" w:cs="仿宋_GB2312"/>
          <w:b w:val="0"/>
          <w:color w:val="auto"/>
          <w:highlight w:val="none"/>
        </w:rPr>
        <w:instrText xml:space="preserve"> PAGEREF _Toc7613 \h </w:instrText>
      </w:r>
      <w:r>
        <w:rPr>
          <w:rFonts w:hint="eastAsia" w:ascii="仿宋_GB2312" w:hAnsi="仿宋_GB2312" w:eastAsia="仿宋_GB2312" w:cs="仿宋_GB2312"/>
          <w:b w:val="0"/>
          <w:color w:val="auto"/>
          <w:highlight w:val="none"/>
        </w:rPr>
        <w:fldChar w:fldCharType="separate"/>
      </w:r>
      <w:r>
        <w:rPr>
          <w:rFonts w:hint="eastAsia" w:ascii="仿宋_GB2312" w:hAnsi="仿宋_GB2312" w:eastAsia="仿宋_GB2312" w:cs="仿宋_GB2312"/>
          <w:b w:val="0"/>
          <w:color w:val="auto"/>
          <w:highlight w:val="none"/>
        </w:rPr>
        <w:t>14</w:t>
      </w:r>
      <w:r>
        <w:rPr>
          <w:rFonts w:hint="eastAsia" w:ascii="仿宋_GB2312" w:hAnsi="仿宋_GB2312" w:eastAsia="仿宋_GB2312" w:cs="仿宋_GB2312"/>
          <w:b w:val="0"/>
          <w:color w:val="auto"/>
          <w:highlight w:val="none"/>
        </w:rPr>
        <w:fldChar w:fldCharType="end"/>
      </w:r>
      <w:r>
        <w:rPr>
          <w:rFonts w:hint="eastAsia" w:ascii="仿宋_GB2312" w:hAnsi="仿宋_GB2312" w:eastAsia="仿宋_GB2312" w:cs="仿宋_GB2312"/>
          <w:b w:val="0"/>
          <w:color w:val="auto"/>
          <w:highlight w:val="none"/>
        </w:rPr>
        <w:fldChar w:fldCharType="end"/>
      </w:r>
    </w:p>
    <w:p>
      <w:pPr>
        <w:pStyle w:val="4"/>
        <w:tabs>
          <w:tab w:val="right" w:leader="dot" w:pos="8844"/>
          <w:tab w:val="clear" w:pos="9062"/>
        </w:tabs>
        <w:spacing w:line="560" w:lineRule="exact"/>
        <w:rPr>
          <w:rFonts w:ascii="仿宋_GB2312" w:hAnsi="仿宋_GB2312" w:eastAsia="仿宋_GB2312" w:cs="仿宋_GB2312"/>
          <w:b w:val="0"/>
          <w:color w:val="auto"/>
          <w:highlight w:val="none"/>
        </w:rPr>
      </w:pPr>
      <w:r>
        <w:rPr>
          <w:color w:val="auto"/>
          <w:highlight w:val="none"/>
        </w:rPr>
        <w:fldChar w:fldCharType="begin"/>
      </w:r>
      <w:r>
        <w:rPr>
          <w:color w:val="auto"/>
          <w:highlight w:val="none"/>
        </w:rPr>
        <w:instrText xml:space="preserve"> HYPERLINK \l "_Toc15586" </w:instrText>
      </w:r>
      <w:r>
        <w:rPr>
          <w:color w:val="auto"/>
          <w:highlight w:val="none"/>
        </w:rPr>
        <w:fldChar w:fldCharType="separate"/>
      </w:r>
      <w:r>
        <w:rPr>
          <w:rFonts w:hint="eastAsia" w:ascii="仿宋_GB2312" w:hAnsi="仿宋_GB2312" w:eastAsia="仿宋_GB2312" w:cs="仿宋_GB2312"/>
          <w:b w:val="0"/>
          <w:color w:val="auto"/>
          <w:highlight w:val="none"/>
        </w:rPr>
        <w:t>4.评价工作组织</w:t>
      </w:r>
      <w:r>
        <w:rPr>
          <w:rFonts w:hint="eastAsia" w:ascii="仿宋_GB2312" w:hAnsi="仿宋_GB2312" w:eastAsia="仿宋_GB2312" w:cs="仿宋_GB2312"/>
          <w:b w:val="0"/>
          <w:color w:val="auto"/>
          <w:highlight w:val="none"/>
        </w:rPr>
        <w:tab/>
      </w:r>
      <w:r>
        <w:rPr>
          <w:rFonts w:hint="eastAsia" w:ascii="仿宋_GB2312" w:hAnsi="仿宋_GB2312" w:eastAsia="仿宋_GB2312" w:cs="仿宋_GB2312"/>
          <w:b w:val="0"/>
          <w:color w:val="auto"/>
          <w:highlight w:val="none"/>
        </w:rPr>
        <w:fldChar w:fldCharType="begin"/>
      </w:r>
      <w:r>
        <w:rPr>
          <w:rFonts w:hint="eastAsia" w:ascii="仿宋_GB2312" w:hAnsi="仿宋_GB2312" w:eastAsia="仿宋_GB2312" w:cs="仿宋_GB2312"/>
          <w:b w:val="0"/>
          <w:color w:val="auto"/>
          <w:highlight w:val="none"/>
        </w:rPr>
        <w:instrText xml:space="preserve"> PAGEREF _Toc15586 \h </w:instrText>
      </w:r>
      <w:r>
        <w:rPr>
          <w:rFonts w:hint="eastAsia" w:ascii="仿宋_GB2312" w:hAnsi="仿宋_GB2312" w:eastAsia="仿宋_GB2312" w:cs="仿宋_GB2312"/>
          <w:b w:val="0"/>
          <w:color w:val="auto"/>
          <w:highlight w:val="none"/>
        </w:rPr>
        <w:fldChar w:fldCharType="separate"/>
      </w:r>
      <w:r>
        <w:rPr>
          <w:rFonts w:hint="eastAsia" w:ascii="仿宋_GB2312" w:hAnsi="仿宋_GB2312" w:eastAsia="仿宋_GB2312" w:cs="仿宋_GB2312"/>
          <w:b w:val="0"/>
          <w:color w:val="auto"/>
          <w:highlight w:val="none"/>
        </w:rPr>
        <w:t>14</w:t>
      </w:r>
      <w:r>
        <w:rPr>
          <w:rFonts w:hint="eastAsia" w:ascii="仿宋_GB2312" w:hAnsi="仿宋_GB2312" w:eastAsia="仿宋_GB2312" w:cs="仿宋_GB2312"/>
          <w:b w:val="0"/>
          <w:color w:val="auto"/>
          <w:highlight w:val="none"/>
        </w:rPr>
        <w:fldChar w:fldCharType="end"/>
      </w:r>
      <w:r>
        <w:rPr>
          <w:rFonts w:hint="eastAsia" w:ascii="仿宋_GB2312" w:hAnsi="仿宋_GB2312" w:eastAsia="仿宋_GB2312" w:cs="仿宋_GB2312"/>
          <w:b w:val="0"/>
          <w:color w:val="auto"/>
          <w:highlight w:val="none"/>
        </w:rPr>
        <w:fldChar w:fldCharType="end"/>
      </w:r>
    </w:p>
    <w:p>
      <w:pPr>
        <w:pStyle w:val="4"/>
        <w:tabs>
          <w:tab w:val="right" w:leader="dot" w:pos="8844"/>
          <w:tab w:val="clear" w:pos="9062"/>
        </w:tabs>
        <w:spacing w:line="560" w:lineRule="exact"/>
        <w:rPr>
          <w:rFonts w:ascii="仿宋_GB2312" w:hAnsi="仿宋_GB2312" w:eastAsia="仿宋_GB2312" w:cs="仿宋_GB2312"/>
          <w:b w:val="0"/>
          <w:color w:val="auto"/>
          <w:highlight w:val="none"/>
        </w:rPr>
      </w:pPr>
      <w:r>
        <w:rPr>
          <w:color w:val="auto"/>
          <w:highlight w:val="none"/>
        </w:rPr>
        <w:fldChar w:fldCharType="begin"/>
      </w:r>
      <w:r>
        <w:rPr>
          <w:color w:val="auto"/>
          <w:highlight w:val="none"/>
        </w:rPr>
        <w:instrText xml:space="preserve"> HYPERLINK \l "_Toc8852" </w:instrText>
      </w:r>
      <w:r>
        <w:rPr>
          <w:color w:val="auto"/>
          <w:highlight w:val="none"/>
        </w:rPr>
        <w:fldChar w:fldCharType="separate"/>
      </w:r>
      <w:r>
        <w:rPr>
          <w:rFonts w:hint="eastAsia" w:ascii="仿宋_GB2312" w:hAnsi="仿宋_GB2312" w:eastAsia="仿宋_GB2312" w:cs="仿宋_GB2312"/>
          <w:b w:val="0"/>
          <w:color w:val="auto"/>
          <w:highlight w:val="none"/>
        </w:rPr>
        <w:t>5.绩效评价框架</w:t>
      </w:r>
      <w:r>
        <w:rPr>
          <w:rFonts w:hint="eastAsia" w:ascii="仿宋_GB2312" w:hAnsi="仿宋_GB2312" w:eastAsia="仿宋_GB2312" w:cs="仿宋_GB2312"/>
          <w:b w:val="0"/>
          <w:color w:val="auto"/>
          <w:highlight w:val="none"/>
        </w:rPr>
        <w:tab/>
      </w:r>
      <w:r>
        <w:rPr>
          <w:rFonts w:hint="eastAsia" w:ascii="仿宋_GB2312" w:hAnsi="仿宋_GB2312" w:eastAsia="仿宋_GB2312" w:cs="仿宋_GB2312"/>
          <w:b w:val="0"/>
          <w:color w:val="auto"/>
          <w:highlight w:val="none"/>
        </w:rPr>
        <w:fldChar w:fldCharType="begin"/>
      </w:r>
      <w:r>
        <w:rPr>
          <w:rFonts w:hint="eastAsia" w:ascii="仿宋_GB2312" w:hAnsi="仿宋_GB2312" w:eastAsia="仿宋_GB2312" w:cs="仿宋_GB2312"/>
          <w:b w:val="0"/>
          <w:color w:val="auto"/>
          <w:highlight w:val="none"/>
        </w:rPr>
        <w:instrText xml:space="preserve"> PAGEREF _Toc8852 \h </w:instrText>
      </w:r>
      <w:r>
        <w:rPr>
          <w:rFonts w:hint="eastAsia" w:ascii="仿宋_GB2312" w:hAnsi="仿宋_GB2312" w:eastAsia="仿宋_GB2312" w:cs="仿宋_GB2312"/>
          <w:b w:val="0"/>
          <w:color w:val="auto"/>
          <w:highlight w:val="none"/>
        </w:rPr>
        <w:fldChar w:fldCharType="separate"/>
      </w:r>
      <w:r>
        <w:rPr>
          <w:rFonts w:hint="eastAsia" w:ascii="仿宋_GB2312" w:hAnsi="仿宋_GB2312" w:eastAsia="仿宋_GB2312" w:cs="仿宋_GB2312"/>
          <w:b w:val="0"/>
          <w:color w:val="auto"/>
          <w:highlight w:val="none"/>
        </w:rPr>
        <w:t>16</w:t>
      </w:r>
      <w:r>
        <w:rPr>
          <w:rFonts w:hint="eastAsia" w:ascii="仿宋_GB2312" w:hAnsi="仿宋_GB2312" w:eastAsia="仿宋_GB2312" w:cs="仿宋_GB2312"/>
          <w:b w:val="0"/>
          <w:color w:val="auto"/>
          <w:highlight w:val="none"/>
        </w:rPr>
        <w:fldChar w:fldCharType="end"/>
      </w:r>
      <w:r>
        <w:rPr>
          <w:rFonts w:hint="eastAsia" w:ascii="仿宋_GB2312" w:hAnsi="仿宋_GB2312" w:eastAsia="仿宋_GB2312" w:cs="仿宋_GB2312"/>
          <w:b w:val="0"/>
          <w:color w:val="auto"/>
          <w:highlight w:val="none"/>
        </w:rPr>
        <w:fldChar w:fldCharType="end"/>
      </w:r>
    </w:p>
    <w:p>
      <w:pPr>
        <w:pStyle w:val="4"/>
        <w:tabs>
          <w:tab w:val="right" w:leader="dot" w:pos="8844"/>
          <w:tab w:val="clear" w:pos="9062"/>
        </w:tabs>
        <w:spacing w:line="560" w:lineRule="exact"/>
        <w:rPr>
          <w:rFonts w:ascii="仿宋_GB2312" w:hAnsi="仿宋_GB2312" w:eastAsia="仿宋_GB2312" w:cs="仿宋_GB2312"/>
          <w:b w:val="0"/>
          <w:color w:val="auto"/>
          <w:highlight w:val="none"/>
        </w:rPr>
      </w:pPr>
      <w:r>
        <w:rPr>
          <w:color w:val="auto"/>
          <w:highlight w:val="none"/>
        </w:rPr>
        <w:fldChar w:fldCharType="begin"/>
      </w:r>
      <w:r>
        <w:rPr>
          <w:color w:val="auto"/>
          <w:highlight w:val="none"/>
        </w:rPr>
        <w:instrText xml:space="preserve"> HYPERLINK \l "_Toc8270" </w:instrText>
      </w:r>
      <w:r>
        <w:rPr>
          <w:color w:val="auto"/>
          <w:highlight w:val="none"/>
        </w:rPr>
        <w:fldChar w:fldCharType="separate"/>
      </w:r>
      <w:r>
        <w:rPr>
          <w:rFonts w:hint="eastAsia" w:ascii="仿宋_GB2312" w:hAnsi="仿宋_GB2312" w:eastAsia="仿宋_GB2312" w:cs="仿宋_GB2312"/>
          <w:b w:val="0"/>
          <w:color w:val="auto"/>
          <w:highlight w:val="none"/>
        </w:rPr>
        <w:t>6.证据收集方法</w:t>
      </w:r>
      <w:r>
        <w:rPr>
          <w:rFonts w:hint="eastAsia" w:ascii="仿宋_GB2312" w:hAnsi="仿宋_GB2312" w:eastAsia="仿宋_GB2312" w:cs="仿宋_GB2312"/>
          <w:b w:val="0"/>
          <w:color w:val="auto"/>
          <w:highlight w:val="none"/>
        </w:rPr>
        <w:tab/>
      </w:r>
      <w:r>
        <w:rPr>
          <w:rFonts w:hint="eastAsia" w:ascii="仿宋_GB2312" w:hAnsi="仿宋_GB2312" w:eastAsia="仿宋_GB2312" w:cs="仿宋_GB2312"/>
          <w:b w:val="0"/>
          <w:color w:val="auto"/>
          <w:highlight w:val="none"/>
        </w:rPr>
        <w:fldChar w:fldCharType="begin"/>
      </w:r>
      <w:r>
        <w:rPr>
          <w:rFonts w:hint="eastAsia" w:ascii="仿宋_GB2312" w:hAnsi="仿宋_GB2312" w:eastAsia="仿宋_GB2312" w:cs="仿宋_GB2312"/>
          <w:b w:val="0"/>
          <w:color w:val="auto"/>
          <w:highlight w:val="none"/>
        </w:rPr>
        <w:instrText xml:space="preserve"> PAGEREF _Toc8270 \h </w:instrText>
      </w:r>
      <w:r>
        <w:rPr>
          <w:rFonts w:hint="eastAsia" w:ascii="仿宋_GB2312" w:hAnsi="仿宋_GB2312" w:eastAsia="仿宋_GB2312" w:cs="仿宋_GB2312"/>
          <w:b w:val="0"/>
          <w:color w:val="auto"/>
          <w:highlight w:val="none"/>
        </w:rPr>
        <w:fldChar w:fldCharType="separate"/>
      </w:r>
      <w:r>
        <w:rPr>
          <w:rFonts w:hint="eastAsia" w:ascii="仿宋_GB2312" w:hAnsi="仿宋_GB2312" w:eastAsia="仿宋_GB2312" w:cs="仿宋_GB2312"/>
          <w:b w:val="0"/>
          <w:color w:val="auto"/>
          <w:highlight w:val="none"/>
        </w:rPr>
        <w:t>19</w:t>
      </w:r>
      <w:r>
        <w:rPr>
          <w:rFonts w:hint="eastAsia" w:ascii="仿宋_GB2312" w:hAnsi="仿宋_GB2312" w:eastAsia="仿宋_GB2312" w:cs="仿宋_GB2312"/>
          <w:b w:val="0"/>
          <w:color w:val="auto"/>
          <w:highlight w:val="none"/>
        </w:rPr>
        <w:fldChar w:fldCharType="end"/>
      </w:r>
      <w:r>
        <w:rPr>
          <w:rFonts w:hint="eastAsia" w:ascii="仿宋_GB2312" w:hAnsi="仿宋_GB2312" w:eastAsia="仿宋_GB2312" w:cs="仿宋_GB2312"/>
          <w:b w:val="0"/>
          <w:color w:val="auto"/>
          <w:highlight w:val="none"/>
        </w:rPr>
        <w:fldChar w:fldCharType="end"/>
      </w:r>
    </w:p>
    <w:p>
      <w:pPr>
        <w:pStyle w:val="10"/>
        <w:tabs>
          <w:tab w:val="right" w:leader="dot" w:pos="8844"/>
        </w:tabs>
        <w:spacing w:line="560" w:lineRule="exact"/>
        <w:rPr>
          <w:rFonts w:ascii="仿宋_GB2312" w:hAnsi="仿宋_GB2312" w:eastAsia="仿宋_GB2312" w:cs="仿宋_GB2312"/>
          <w:color w:val="auto"/>
          <w:sz w:val="28"/>
          <w:szCs w:val="28"/>
          <w:highlight w:val="none"/>
        </w:rPr>
      </w:pPr>
      <w:r>
        <w:rPr>
          <w:color w:val="auto"/>
          <w:highlight w:val="none"/>
        </w:rPr>
        <w:fldChar w:fldCharType="begin"/>
      </w:r>
      <w:r>
        <w:rPr>
          <w:color w:val="auto"/>
          <w:highlight w:val="none"/>
        </w:rPr>
        <w:instrText xml:space="preserve"> HYPERLINK \l "_Toc29219" </w:instrText>
      </w:r>
      <w:r>
        <w:rPr>
          <w:color w:val="auto"/>
          <w:highlight w:val="none"/>
        </w:rPr>
        <w:fldChar w:fldCharType="separate"/>
      </w:r>
      <w:r>
        <w:rPr>
          <w:rFonts w:hint="eastAsia" w:ascii="仿宋_GB2312" w:hAnsi="仿宋_GB2312" w:eastAsia="仿宋_GB2312" w:cs="仿宋_GB2312"/>
          <w:color w:val="auto"/>
          <w:sz w:val="28"/>
          <w:szCs w:val="28"/>
          <w:highlight w:val="none"/>
        </w:rPr>
        <w:t>（三）绩效指标完成情况分析</w:t>
      </w:r>
      <w:r>
        <w:rPr>
          <w:rFonts w:hint="eastAsia" w:ascii="仿宋_GB2312" w:hAnsi="仿宋_GB2312" w:eastAsia="仿宋_GB2312" w:cs="仿宋_GB2312"/>
          <w:color w:val="auto"/>
          <w:sz w:val="28"/>
          <w:szCs w:val="28"/>
          <w:highlight w:val="none"/>
        </w:rPr>
        <w:tab/>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 PAGEREF _Toc29219 \h </w:instrText>
      </w:r>
      <w:r>
        <w:rPr>
          <w:rFonts w:hint="eastAsia" w:ascii="仿宋_GB2312" w:hAnsi="仿宋_GB2312" w:eastAsia="仿宋_GB2312" w:cs="仿宋_GB2312"/>
          <w:color w:val="auto"/>
          <w:sz w:val="28"/>
          <w:szCs w:val="28"/>
          <w:highlight w:val="none"/>
        </w:rPr>
        <w:fldChar w:fldCharType="separate"/>
      </w:r>
      <w:r>
        <w:rPr>
          <w:rFonts w:hint="eastAsia" w:ascii="仿宋_GB2312" w:hAnsi="仿宋_GB2312" w:eastAsia="仿宋_GB2312" w:cs="仿宋_GB2312"/>
          <w:color w:val="auto"/>
          <w:sz w:val="28"/>
          <w:szCs w:val="28"/>
          <w:highlight w:val="none"/>
        </w:rPr>
        <w:t>20</w:t>
      </w:r>
      <w:r>
        <w:rPr>
          <w:rFonts w:hint="eastAsia" w:ascii="仿宋_GB2312" w:hAnsi="仿宋_GB2312" w:eastAsia="仿宋_GB2312" w:cs="仿宋_GB2312"/>
          <w:color w:val="auto"/>
          <w:sz w:val="28"/>
          <w:szCs w:val="28"/>
          <w:highlight w:val="none"/>
        </w:rPr>
        <w:fldChar w:fldCharType="end"/>
      </w:r>
      <w:r>
        <w:rPr>
          <w:rFonts w:hint="eastAsia" w:ascii="仿宋_GB2312" w:hAnsi="仿宋_GB2312" w:eastAsia="仿宋_GB2312" w:cs="仿宋_GB2312"/>
          <w:color w:val="auto"/>
          <w:sz w:val="28"/>
          <w:szCs w:val="28"/>
          <w:highlight w:val="none"/>
        </w:rPr>
        <w:fldChar w:fldCharType="end"/>
      </w:r>
    </w:p>
    <w:p>
      <w:pPr>
        <w:pStyle w:val="4"/>
        <w:tabs>
          <w:tab w:val="right" w:leader="dot" w:pos="8844"/>
          <w:tab w:val="clear" w:pos="9062"/>
        </w:tabs>
        <w:spacing w:line="560" w:lineRule="exact"/>
        <w:rPr>
          <w:rFonts w:ascii="仿宋_GB2312" w:hAnsi="仿宋_GB2312" w:eastAsia="仿宋_GB2312" w:cs="仿宋_GB2312"/>
          <w:b w:val="0"/>
          <w:color w:val="auto"/>
          <w:highlight w:val="none"/>
        </w:rPr>
      </w:pPr>
      <w:r>
        <w:rPr>
          <w:color w:val="auto"/>
          <w:highlight w:val="none"/>
        </w:rPr>
        <w:fldChar w:fldCharType="begin"/>
      </w:r>
      <w:r>
        <w:rPr>
          <w:color w:val="auto"/>
          <w:highlight w:val="none"/>
        </w:rPr>
        <w:instrText xml:space="preserve"> HYPERLINK \l "_Toc21834" </w:instrText>
      </w:r>
      <w:r>
        <w:rPr>
          <w:color w:val="auto"/>
          <w:highlight w:val="none"/>
        </w:rPr>
        <w:fldChar w:fldCharType="separate"/>
      </w:r>
      <w:r>
        <w:rPr>
          <w:rFonts w:hint="eastAsia" w:ascii="仿宋_GB2312" w:hAnsi="仿宋_GB2312" w:eastAsia="仿宋_GB2312" w:cs="仿宋_GB2312"/>
          <w:b w:val="0"/>
          <w:color w:val="auto"/>
          <w:highlight w:val="none"/>
        </w:rPr>
        <w:t>1.决策分析</w:t>
      </w:r>
      <w:r>
        <w:rPr>
          <w:rFonts w:hint="eastAsia" w:ascii="仿宋_GB2312" w:hAnsi="仿宋_GB2312" w:eastAsia="仿宋_GB2312" w:cs="仿宋_GB2312"/>
          <w:b w:val="0"/>
          <w:color w:val="auto"/>
          <w:highlight w:val="none"/>
        </w:rPr>
        <w:tab/>
      </w:r>
      <w:r>
        <w:rPr>
          <w:rFonts w:hint="eastAsia" w:ascii="仿宋_GB2312" w:hAnsi="仿宋_GB2312" w:eastAsia="仿宋_GB2312" w:cs="仿宋_GB2312"/>
          <w:b w:val="0"/>
          <w:color w:val="auto"/>
          <w:highlight w:val="none"/>
        </w:rPr>
        <w:fldChar w:fldCharType="begin"/>
      </w:r>
      <w:r>
        <w:rPr>
          <w:rFonts w:hint="eastAsia" w:ascii="仿宋_GB2312" w:hAnsi="仿宋_GB2312" w:eastAsia="仿宋_GB2312" w:cs="仿宋_GB2312"/>
          <w:b w:val="0"/>
          <w:color w:val="auto"/>
          <w:highlight w:val="none"/>
        </w:rPr>
        <w:instrText xml:space="preserve"> PAGEREF _Toc21834 \h </w:instrText>
      </w:r>
      <w:r>
        <w:rPr>
          <w:rFonts w:hint="eastAsia" w:ascii="仿宋_GB2312" w:hAnsi="仿宋_GB2312" w:eastAsia="仿宋_GB2312" w:cs="仿宋_GB2312"/>
          <w:b w:val="0"/>
          <w:color w:val="auto"/>
          <w:highlight w:val="none"/>
        </w:rPr>
        <w:fldChar w:fldCharType="separate"/>
      </w:r>
      <w:r>
        <w:rPr>
          <w:rFonts w:hint="eastAsia" w:ascii="仿宋_GB2312" w:hAnsi="仿宋_GB2312" w:eastAsia="仿宋_GB2312" w:cs="仿宋_GB2312"/>
          <w:b w:val="0"/>
          <w:color w:val="auto"/>
          <w:highlight w:val="none"/>
        </w:rPr>
        <w:t>20</w:t>
      </w:r>
      <w:r>
        <w:rPr>
          <w:rFonts w:hint="eastAsia" w:ascii="仿宋_GB2312" w:hAnsi="仿宋_GB2312" w:eastAsia="仿宋_GB2312" w:cs="仿宋_GB2312"/>
          <w:b w:val="0"/>
          <w:color w:val="auto"/>
          <w:highlight w:val="none"/>
        </w:rPr>
        <w:fldChar w:fldCharType="end"/>
      </w:r>
      <w:r>
        <w:rPr>
          <w:rFonts w:hint="eastAsia" w:ascii="仿宋_GB2312" w:hAnsi="仿宋_GB2312" w:eastAsia="仿宋_GB2312" w:cs="仿宋_GB2312"/>
          <w:b w:val="0"/>
          <w:color w:val="auto"/>
          <w:highlight w:val="none"/>
        </w:rPr>
        <w:fldChar w:fldCharType="end"/>
      </w:r>
    </w:p>
    <w:p>
      <w:pPr>
        <w:pStyle w:val="4"/>
        <w:tabs>
          <w:tab w:val="right" w:leader="dot" w:pos="8844"/>
          <w:tab w:val="clear" w:pos="9062"/>
        </w:tabs>
        <w:spacing w:line="560" w:lineRule="exact"/>
        <w:rPr>
          <w:rFonts w:ascii="仿宋_GB2312" w:hAnsi="仿宋_GB2312" w:eastAsia="仿宋_GB2312" w:cs="仿宋_GB2312"/>
          <w:b w:val="0"/>
          <w:color w:val="auto"/>
          <w:highlight w:val="none"/>
        </w:rPr>
      </w:pPr>
      <w:r>
        <w:rPr>
          <w:color w:val="auto"/>
          <w:highlight w:val="none"/>
        </w:rPr>
        <w:fldChar w:fldCharType="begin"/>
      </w:r>
      <w:r>
        <w:rPr>
          <w:color w:val="auto"/>
          <w:highlight w:val="none"/>
        </w:rPr>
        <w:instrText xml:space="preserve"> HYPERLINK \l "_Toc13517" </w:instrText>
      </w:r>
      <w:r>
        <w:rPr>
          <w:color w:val="auto"/>
          <w:highlight w:val="none"/>
        </w:rPr>
        <w:fldChar w:fldCharType="separate"/>
      </w:r>
      <w:r>
        <w:rPr>
          <w:rFonts w:hint="eastAsia" w:ascii="仿宋_GB2312" w:hAnsi="仿宋_GB2312" w:eastAsia="仿宋_GB2312" w:cs="仿宋_GB2312"/>
          <w:b w:val="0"/>
          <w:color w:val="auto"/>
          <w:highlight w:val="none"/>
        </w:rPr>
        <w:t>2.过程分析</w:t>
      </w:r>
      <w:r>
        <w:rPr>
          <w:rFonts w:hint="eastAsia" w:ascii="仿宋_GB2312" w:hAnsi="仿宋_GB2312" w:eastAsia="仿宋_GB2312" w:cs="仿宋_GB2312"/>
          <w:b w:val="0"/>
          <w:color w:val="auto"/>
          <w:highlight w:val="none"/>
        </w:rPr>
        <w:tab/>
      </w:r>
      <w:r>
        <w:rPr>
          <w:rFonts w:hint="eastAsia" w:ascii="仿宋_GB2312" w:hAnsi="仿宋_GB2312" w:eastAsia="仿宋_GB2312" w:cs="仿宋_GB2312"/>
          <w:b w:val="0"/>
          <w:color w:val="auto"/>
          <w:highlight w:val="none"/>
        </w:rPr>
        <w:fldChar w:fldCharType="begin"/>
      </w:r>
      <w:r>
        <w:rPr>
          <w:rFonts w:hint="eastAsia" w:ascii="仿宋_GB2312" w:hAnsi="仿宋_GB2312" w:eastAsia="仿宋_GB2312" w:cs="仿宋_GB2312"/>
          <w:b w:val="0"/>
          <w:color w:val="auto"/>
          <w:highlight w:val="none"/>
        </w:rPr>
        <w:instrText xml:space="preserve"> PAGEREF _Toc13517 \h </w:instrText>
      </w:r>
      <w:r>
        <w:rPr>
          <w:rFonts w:hint="eastAsia" w:ascii="仿宋_GB2312" w:hAnsi="仿宋_GB2312" w:eastAsia="仿宋_GB2312" w:cs="仿宋_GB2312"/>
          <w:b w:val="0"/>
          <w:color w:val="auto"/>
          <w:highlight w:val="none"/>
        </w:rPr>
        <w:fldChar w:fldCharType="separate"/>
      </w:r>
      <w:r>
        <w:rPr>
          <w:rFonts w:hint="eastAsia" w:ascii="仿宋_GB2312" w:hAnsi="仿宋_GB2312" w:eastAsia="仿宋_GB2312" w:cs="仿宋_GB2312"/>
          <w:b w:val="0"/>
          <w:color w:val="auto"/>
          <w:highlight w:val="none"/>
        </w:rPr>
        <w:t>23</w:t>
      </w:r>
      <w:r>
        <w:rPr>
          <w:rFonts w:hint="eastAsia" w:ascii="仿宋_GB2312" w:hAnsi="仿宋_GB2312" w:eastAsia="仿宋_GB2312" w:cs="仿宋_GB2312"/>
          <w:b w:val="0"/>
          <w:color w:val="auto"/>
          <w:highlight w:val="none"/>
        </w:rPr>
        <w:fldChar w:fldCharType="end"/>
      </w:r>
      <w:r>
        <w:rPr>
          <w:rFonts w:hint="eastAsia" w:ascii="仿宋_GB2312" w:hAnsi="仿宋_GB2312" w:eastAsia="仿宋_GB2312" w:cs="仿宋_GB2312"/>
          <w:b w:val="0"/>
          <w:color w:val="auto"/>
          <w:highlight w:val="none"/>
        </w:rPr>
        <w:fldChar w:fldCharType="end"/>
      </w:r>
    </w:p>
    <w:p>
      <w:pPr>
        <w:pStyle w:val="4"/>
        <w:tabs>
          <w:tab w:val="right" w:leader="dot" w:pos="8844"/>
          <w:tab w:val="clear" w:pos="9062"/>
        </w:tabs>
        <w:spacing w:line="560" w:lineRule="exact"/>
        <w:rPr>
          <w:rFonts w:ascii="仿宋_GB2312" w:hAnsi="仿宋_GB2312" w:eastAsia="仿宋_GB2312" w:cs="仿宋_GB2312"/>
          <w:b w:val="0"/>
          <w:color w:val="auto"/>
          <w:highlight w:val="none"/>
        </w:rPr>
      </w:pPr>
      <w:r>
        <w:rPr>
          <w:color w:val="auto"/>
          <w:highlight w:val="none"/>
        </w:rPr>
        <w:fldChar w:fldCharType="begin"/>
      </w:r>
      <w:r>
        <w:rPr>
          <w:color w:val="auto"/>
          <w:highlight w:val="none"/>
        </w:rPr>
        <w:instrText xml:space="preserve"> HYPERLINK \l "_Toc651" </w:instrText>
      </w:r>
      <w:r>
        <w:rPr>
          <w:color w:val="auto"/>
          <w:highlight w:val="none"/>
        </w:rPr>
        <w:fldChar w:fldCharType="separate"/>
      </w:r>
      <w:r>
        <w:rPr>
          <w:rFonts w:hint="eastAsia" w:ascii="仿宋_GB2312" w:hAnsi="仿宋_GB2312" w:eastAsia="仿宋_GB2312" w:cs="仿宋_GB2312"/>
          <w:b w:val="0"/>
          <w:color w:val="auto"/>
          <w:highlight w:val="none"/>
        </w:rPr>
        <w:t>3.产出分析</w:t>
      </w:r>
      <w:r>
        <w:rPr>
          <w:rFonts w:hint="eastAsia" w:ascii="仿宋_GB2312" w:hAnsi="仿宋_GB2312" w:eastAsia="仿宋_GB2312" w:cs="仿宋_GB2312"/>
          <w:b w:val="0"/>
          <w:color w:val="auto"/>
          <w:highlight w:val="none"/>
        </w:rPr>
        <w:tab/>
      </w:r>
      <w:r>
        <w:rPr>
          <w:rFonts w:hint="eastAsia" w:ascii="仿宋_GB2312" w:hAnsi="仿宋_GB2312" w:eastAsia="仿宋_GB2312" w:cs="仿宋_GB2312"/>
          <w:b w:val="0"/>
          <w:color w:val="auto"/>
          <w:highlight w:val="none"/>
        </w:rPr>
        <w:fldChar w:fldCharType="begin"/>
      </w:r>
      <w:r>
        <w:rPr>
          <w:rFonts w:hint="eastAsia" w:ascii="仿宋_GB2312" w:hAnsi="仿宋_GB2312" w:eastAsia="仿宋_GB2312" w:cs="仿宋_GB2312"/>
          <w:b w:val="0"/>
          <w:color w:val="auto"/>
          <w:highlight w:val="none"/>
        </w:rPr>
        <w:instrText xml:space="preserve"> PAGEREF _Toc651 \h </w:instrText>
      </w:r>
      <w:r>
        <w:rPr>
          <w:rFonts w:hint="eastAsia" w:ascii="仿宋_GB2312" w:hAnsi="仿宋_GB2312" w:eastAsia="仿宋_GB2312" w:cs="仿宋_GB2312"/>
          <w:b w:val="0"/>
          <w:color w:val="auto"/>
          <w:highlight w:val="none"/>
        </w:rPr>
        <w:fldChar w:fldCharType="separate"/>
      </w:r>
      <w:r>
        <w:rPr>
          <w:rFonts w:hint="eastAsia" w:ascii="仿宋_GB2312" w:hAnsi="仿宋_GB2312" w:eastAsia="仿宋_GB2312" w:cs="仿宋_GB2312"/>
          <w:b w:val="0"/>
          <w:color w:val="auto"/>
          <w:highlight w:val="none"/>
        </w:rPr>
        <w:t>26</w:t>
      </w:r>
      <w:r>
        <w:rPr>
          <w:rFonts w:hint="eastAsia" w:ascii="仿宋_GB2312" w:hAnsi="仿宋_GB2312" w:eastAsia="仿宋_GB2312" w:cs="仿宋_GB2312"/>
          <w:b w:val="0"/>
          <w:color w:val="auto"/>
          <w:highlight w:val="none"/>
        </w:rPr>
        <w:fldChar w:fldCharType="end"/>
      </w:r>
      <w:r>
        <w:rPr>
          <w:rFonts w:hint="eastAsia" w:ascii="仿宋_GB2312" w:hAnsi="仿宋_GB2312" w:eastAsia="仿宋_GB2312" w:cs="仿宋_GB2312"/>
          <w:b w:val="0"/>
          <w:color w:val="auto"/>
          <w:highlight w:val="none"/>
        </w:rPr>
        <w:fldChar w:fldCharType="end"/>
      </w:r>
    </w:p>
    <w:p>
      <w:pPr>
        <w:pStyle w:val="4"/>
        <w:tabs>
          <w:tab w:val="right" w:leader="dot" w:pos="8844"/>
          <w:tab w:val="clear" w:pos="9062"/>
        </w:tabs>
        <w:spacing w:line="560" w:lineRule="exact"/>
        <w:rPr>
          <w:rFonts w:ascii="仿宋_GB2312" w:hAnsi="仿宋_GB2312" w:eastAsia="仿宋_GB2312" w:cs="仿宋_GB2312"/>
          <w:b w:val="0"/>
          <w:color w:val="auto"/>
          <w:highlight w:val="none"/>
        </w:rPr>
      </w:pPr>
      <w:r>
        <w:rPr>
          <w:color w:val="auto"/>
          <w:highlight w:val="none"/>
        </w:rPr>
        <w:fldChar w:fldCharType="begin"/>
      </w:r>
      <w:r>
        <w:rPr>
          <w:color w:val="auto"/>
          <w:highlight w:val="none"/>
        </w:rPr>
        <w:instrText xml:space="preserve"> HYPERLINK \l "_Toc32490" </w:instrText>
      </w:r>
      <w:r>
        <w:rPr>
          <w:color w:val="auto"/>
          <w:highlight w:val="none"/>
        </w:rPr>
        <w:fldChar w:fldCharType="separate"/>
      </w:r>
      <w:r>
        <w:rPr>
          <w:rFonts w:hint="eastAsia" w:ascii="仿宋_GB2312" w:hAnsi="仿宋_GB2312" w:eastAsia="仿宋_GB2312" w:cs="仿宋_GB2312"/>
          <w:b w:val="0"/>
          <w:color w:val="auto"/>
          <w:highlight w:val="none"/>
        </w:rPr>
        <w:t>4.效果分析</w:t>
      </w:r>
      <w:r>
        <w:rPr>
          <w:rFonts w:hint="eastAsia" w:ascii="仿宋_GB2312" w:hAnsi="仿宋_GB2312" w:eastAsia="仿宋_GB2312" w:cs="仿宋_GB2312"/>
          <w:b w:val="0"/>
          <w:color w:val="auto"/>
          <w:highlight w:val="none"/>
        </w:rPr>
        <w:tab/>
      </w:r>
      <w:r>
        <w:rPr>
          <w:rFonts w:hint="eastAsia" w:ascii="仿宋_GB2312" w:hAnsi="仿宋_GB2312" w:eastAsia="仿宋_GB2312" w:cs="仿宋_GB2312"/>
          <w:b w:val="0"/>
          <w:color w:val="auto"/>
          <w:highlight w:val="none"/>
        </w:rPr>
        <w:fldChar w:fldCharType="begin"/>
      </w:r>
      <w:r>
        <w:rPr>
          <w:rFonts w:hint="eastAsia" w:ascii="仿宋_GB2312" w:hAnsi="仿宋_GB2312" w:eastAsia="仿宋_GB2312" w:cs="仿宋_GB2312"/>
          <w:b w:val="0"/>
          <w:color w:val="auto"/>
          <w:highlight w:val="none"/>
        </w:rPr>
        <w:instrText xml:space="preserve"> PAGEREF _Toc32490 \h </w:instrText>
      </w:r>
      <w:r>
        <w:rPr>
          <w:rFonts w:hint="eastAsia" w:ascii="仿宋_GB2312" w:hAnsi="仿宋_GB2312" w:eastAsia="仿宋_GB2312" w:cs="仿宋_GB2312"/>
          <w:b w:val="0"/>
          <w:color w:val="auto"/>
          <w:highlight w:val="none"/>
        </w:rPr>
        <w:fldChar w:fldCharType="separate"/>
      </w:r>
      <w:r>
        <w:rPr>
          <w:rFonts w:hint="eastAsia" w:ascii="仿宋_GB2312" w:hAnsi="仿宋_GB2312" w:eastAsia="仿宋_GB2312" w:cs="仿宋_GB2312"/>
          <w:b w:val="0"/>
          <w:color w:val="auto"/>
          <w:highlight w:val="none"/>
        </w:rPr>
        <w:t>27</w:t>
      </w:r>
      <w:r>
        <w:rPr>
          <w:rFonts w:hint="eastAsia" w:ascii="仿宋_GB2312" w:hAnsi="仿宋_GB2312" w:eastAsia="仿宋_GB2312" w:cs="仿宋_GB2312"/>
          <w:b w:val="0"/>
          <w:color w:val="auto"/>
          <w:highlight w:val="none"/>
        </w:rPr>
        <w:fldChar w:fldCharType="end"/>
      </w:r>
      <w:r>
        <w:rPr>
          <w:rFonts w:hint="eastAsia" w:ascii="仿宋_GB2312" w:hAnsi="仿宋_GB2312" w:eastAsia="仿宋_GB2312" w:cs="仿宋_GB2312"/>
          <w:b w:val="0"/>
          <w:color w:val="auto"/>
          <w:highlight w:val="none"/>
        </w:rPr>
        <w:fldChar w:fldCharType="end"/>
      </w:r>
    </w:p>
    <w:p>
      <w:pPr>
        <w:pStyle w:val="4"/>
        <w:tabs>
          <w:tab w:val="right" w:leader="dot" w:pos="8844"/>
          <w:tab w:val="clear" w:pos="9062"/>
        </w:tabs>
        <w:spacing w:line="560" w:lineRule="exact"/>
        <w:rPr>
          <w:rFonts w:ascii="仿宋_GB2312" w:hAnsi="仿宋_GB2312" w:eastAsia="仿宋_GB2312" w:cs="仿宋_GB2312"/>
          <w:b w:val="0"/>
          <w:color w:val="auto"/>
          <w:highlight w:val="none"/>
        </w:rPr>
      </w:pPr>
      <w:r>
        <w:rPr>
          <w:color w:val="auto"/>
          <w:highlight w:val="none"/>
        </w:rPr>
        <w:fldChar w:fldCharType="begin"/>
      </w:r>
      <w:r>
        <w:rPr>
          <w:color w:val="auto"/>
          <w:highlight w:val="none"/>
        </w:rPr>
        <w:instrText xml:space="preserve"> HYPERLINK \l "_Toc6580" </w:instrText>
      </w:r>
      <w:r>
        <w:rPr>
          <w:color w:val="auto"/>
          <w:highlight w:val="none"/>
        </w:rPr>
        <w:fldChar w:fldCharType="separate"/>
      </w:r>
      <w:r>
        <w:rPr>
          <w:rFonts w:hint="eastAsia" w:ascii="仿宋_GB2312" w:hAnsi="仿宋_GB2312" w:eastAsia="仿宋_GB2312" w:cs="仿宋_GB2312"/>
          <w:b w:val="0"/>
          <w:color w:val="auto"/>
          <w:highlight w:val="none"/>
        </w:rPr>
        <w:t>5.评价得分与等级</w:t>
      </w:r>
      <w:r>
        <w:rPr>
          <w:rFonts w:hint="eastAsia" w:ascii="仿宋_GB2312" w:hAnsi="仿宋_GB2312" w:eastAsia="仿宋_GB2312" w:cs="仿宋_GB2312"/>
          <w:b w:val="0"/>
          <w:color w:val="auto"/>
          <w:highlight w:val="none"/>
        </w:rPr>
        <w:tab/>
      </w:r>
      <w:r>
        <w:rPr>
          <w:rFonts w:hint="eastAsia" w:ascii="仿宋_GB2312" w:hAnsi="仿宋_GB2312" w:eastAsia="仿宋_GB2312" w:cs="仿宋_GB2312"/>
          <w:b w:val="0"/>
          <w:color w:val="auto"/>
          <w:highlight w:val="none"/>
        </w:rPr>
        <w:fldChar w:fldCharType="begin"/>
      </w:r>
      <w:r>
        <w:rPr>
          <w:rFonts w:hint="eastAsia" w:ascii="仿宋_GB2312" w:hAnsi="仿宋_GB2312" w:eastAsia="仿宋_GB2312" w:cs="仿宋_GB2312"/>
          <w:b w:val="0"/>
          <w:color w:val="auto"/>
          <w:highlight w:val="none"/>
        </w:rPr>
        <w:instrText xml:space="preserve"> PAGEREF _Toc6580 \h </w:instrText>
      </w:r>
      <w:r>
        <w:rPr>
          <w:rFonts w:hint="eastAsia" w:ascii="仿宋_GB2312" w:hAnsi="仿宋_GB2312" w:eastAsia="仿宋_GB2312" w:cs="仿宋_GB2312"/>
          <w:b w:val="0"/>
          <w:color w:val="auto"/>
          <w:highlight w:val="none"/>
        </w:rPr>
        <w:fldChar w:fldCharType="separate"/>
      </w:r>
      <w:r>
        <w:rPr>
          <w:rFonts w:hint="eastAsia" w:ascii="仿宋_GB2312" w:hAnsi="仿宋_GB2312" w:eastAsia="仿宋_GB2312" w:cs="仿宋_GB2312"/>
          <w:b w:val="0"/>
          <w:color w:val="auto"/>
          <w:highlight w:val="none"/>
        </w:rPr>
        <w:t>29</w:t>
      </w:r>
      <w:r>
        <w:rPr>
          <w:rFonts w:hint="eastAsia" w:ascii="仿宋_GB2312" w:hAnsi="仿宋_GB2312" w:eastAsia="仿宋_GB2312" w:cs="仿宋_GB2312"/>
          <w:b w:val="0"/>
          <w:color w:val="auto"/>
          <w:highlight w:val="none"/>
        </w:rPr>
        <w:fldChar w:fldCharType="end"/>
      </w:r>
      <w:r>
        <w:rPr>
          <w:rFonts w:hint="eastAsia" w:ascii="仿宋_GB2312" w:hAnsi="仿宋_GB2312" w:eastAsia="仿宋_GB2312" w:cs="仿宋_GB2312"/>
          <w:b w:val="0"/>
          <w:color w:val="auto"/>
          <w:highlight w:val="none"/>
        </w:rPr>
        <w:fldChar w:fldCharType="end"/>
      </w:r>
    </w:p>
    <w:p>
      <w:pPr>
        <w:pStyle w:val="10"/>
        <w:tabs>
          <w:tab w:val="right" w:leader="dot" w:pos="8844"/>
        </w:tabs>
        <w:spacing w:line="560" w:lineRule="exact"/>
        <w:rPr>
          <w:rFonts w:ascii="仿宋_GB2312" w:hAnsi="仿宋_GB2312" w:eastAsia="仿宋_GB2312" w:cs="仿宋_GB2312"/>
          <w:color w:val="auto"/>
          <w:sz w:val="28"/>
          <w:szCs w:val="28"/>
          <w:highlight w:val="none"/>
        </w:rPr>
      </w:pPr>
      <w:r>
        <w:rPr>
          <w:color w:val="auto"/>
          <w:highlight w:val="none"/>
        </w:rPr>
        <w:fldChar w:fldCharType="begin"/>
      </w:r>
      <w:r>
        <w:rPr>
          <w:color w:val="auto"/>
          <w:highlight w:val="none"/>
        </w:rPr>
        <w:instrText xml:space="preserve"> HYPERLINK \l "_Toc6034" </w:instrText>
      </w:r>
      <w:r>
        <w:rPr>
          <w:color w:val="auto"/>
          <w:highlight w:val="none"/>
        </w:rPr>
        <w:fldChar w:fldCharType="separate"/>
      </w:r>
      <w:r>
        <w:rPr>
          <w:rFonts w:hint="eastAsia" w:ascii="仿宋_GB2312" w:hAnsi="仿宋_GB2312" w:eastAsia="仿宋_GB2312" w:cs="仿宋_GB2312"/>
          <w:color w:val="auto"/>
          <w:sz w:val="28"/>
          <w:szCs w:val="28"/>
          <w:highlight w:val="none"/>
        </w:rPr>
        <w:t>（四）</w:t>
      </w:r>
      <w:r>
        <w:rPr>
          <w:rFonts w:hint="eastAsia" w:ascii="仿宋_GB2312" w:hAnsi="仿宋_GB2312" w:eastAsia="仿宋_GB2312" w:cs="仿宋_GB2312"/>
          <w:color w:val="auto"/>
          <w:kern w:val="0"/>
          <w:sz w:val="28"/>
          <w:szCs w:val="28"/>
          <w:highlight w:val="none"/>
        </w:rPr>
        <w:t>其他需说明的问题</w:t>
      </w:r>
      <w:r>
        <w:rPr>
          <w:rFonts w:hint="eastAsia" w:ascii="仿宋_GB2312" w:hAnsi="仿宋_GB2312" w:eastAsia="仿宋_GB2312" w:cs="仿宋_GB2312"/>
          <w:color w:val="auto"/>
          <w:sz w:val="28"/>
          <w:szCs w:val="28"/>
          <w:highlight w:val="none"/>
        </w:rPr>
        <w:tab/>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 PAGEREF _Toc6034 \h </w:instrText>
      </w:r>
      <w:r>
        <w:rPr>
          <w:rFonts w:hint="eastAsia" w:ascii="仿宋_GB2312" w:hAnsi="仿宋_GB2312" w:eastAsia="仿宋_GB2312" w:cs="仿宋_GB2312"/>
          <w:color w:val="auto"/>
          <w:sz w:val="28"/>
          <w:szCs w:val="28"/>
          <w:highlight w:val="none"/>
        </w:rPr>
        <w:fldChar w:fldCharType="separate"/>
      </w:r>
      <w:r>
        <w:rPr>
          <w:rFonts w:hint="eastAsia" w:ascii="仿宋_GB2312" w:hAnsi="仿宋_GB2312" w:eastAsia="仿宋_GB2312" w:cs="仿宋_GB2312"/>
          <w:color w:val="auto"/>
          <w:sz w:val="28"/>
          <w:szCs w:val="28"/>
          <w:highlight w:val="none"/>
        </w:rPr>
        <w:t>29</w:t>
      </w:r>
      <w:r>
        <w:rPr>
          <w:rFonts w:hint="eastAsia" w:ascii="仿宋_GB2312" w:hAnsi="仿宋_GB2312" w:eastAsia="仿宋_GB2312" w:cs="仿宋_GB2312"/>
          <w:color w:val="auto"/>
          <w:sz w:val="28"/>
          <w:szCs w:val="28"/>
          <w:highlight w:val="none"/>
        </w:rPr>
        <w:fldChar w:fldCharType="end"/>
      </w:r>
      <w:r>
        <w:rPr>
          <w:rFonts w:hint="eastAsia" w:ascii="仿宋_GB2312" w:hAnsi="仿宋_GB2312" w:eastAsia="仿宋_GB2312" w:cs="仿宋_GB2312"/>
          <w:color w:val="auto"/>
          <w:sz w:val="28"/>
          <w:szCs w:val="28"/>
          <w:highlight w:val="none"/>
        </w:rPr>
        <w:fldChar w:fldCharType="end"/>
      </w:r>
    </w:p>
    <w:p>
      <w:pPr>
        <w:pStyle w:val="10"/>
        <w:tabs>
          <w:tab w:val="right" w:leader="dot" w:pos="8844"/>
        </w:tabs>
        <w:spacing w:line="560" w:lineRule="exact"/>
        <w:rPr>
          <w:rFonts w:ascii="仿宋_GB2312" w:hAnsi="仿宋_GB2312" w:eastAsia="仿宋_GB2312" w:cs="仿宋_GB2312"/>
          <w:color w:val="auto"/>
          <w:sz w:val="28"/>
          <w:szCs w:val="28"/>
          <w:highlight w:val="none"/>
        </w:rPr>
      </w:pPr>
      <w:r>
        <w:rPr>
          <w:color w:val="auto"/>
          <w:highlight w:val="none"/>
        </w:rPr>
        <w:fldChar w:fldCharType="begin"/>
      </w:r>
      <w:r>
        <w:rPr>
          <w:color w:val="auto"/>
          <w:highlight w:val="none"/>
        </w:rPr>
        <w:instrText xml:space="preserve"> HYPERLINK \l "_Toc31093" </w:instrText>
      </w:r>
      <w:r>
        <w:rPr>
          <w:color w:val="auto"/>
          <w:highlight w:val="none"/>
        </w:rPr>
        <w:fldChar w:fldCharType="separate"/>
      </w:r>
      <w:r>
        <w:rPr>
          <w:rFonts w:hint="eastAsia" w:ascii="仿宋_GB2312" w:hAnsi="仿宋_GB2312" w:eastAsia="仿宋_GB2312" w:cs="仿宋_GB2312"/>
          <w:color w:val="auto"/>
          <w:sz w:val="28"/>
          <w:szCs w:val="28"/>
          <w:highlight w:val="none"/>
        </w:rPr>
        <w:t>（五）其他佐证材料</w:t>
      </w:r>
      <w:r>
        <w:rPr>
          <w:rFonts w:hint="eastAsia" w:ascii="仿宋_GB2312" w:hAnsi="仿宋_GB2312" w:eastAsia="仿宋_GB2312" w:cs="仿宋_GB2312"/>
          <w:color w:val="auto"/>
          <w:sz w:val="28"/>
          <w:szCs w:val="28"/>
          <w:highlight w:val="none"/>
        </w:rPr>
        <w:tab/>
      </w:r>
      <w:r>
        <w:rPr>
          <w:rFonts w:hint="eastAsia" w:ascii="仿宋_GB2312" w:hAnsi="仿宋_GB2312" w:eastAsia="仿宋_GB2312" w:cs="仿宋_GB2312"/>
          <w:color w:val="auto"/>
          <w:sz w:val="28"/>
          <w:szCs w:val="28"/>
          <w:highlight w:val="none"/>
        </w:rPr>
        <w:fldChar w:fldCharType="begin"/>
      </w:r>
      <w:r>
        <w:rPr>
          <w:rFonts w:hint="eastAsia" w:ascii="仿宋_GB2312" w:hAnsi="仿宋_GB2312" w:eastAsia="仿宋_GB2312" w:cs="仿宋_GB2312"/>
          <w:color w:val="auto"/>
          <w:sz w:val="28"/>
          <w:szCs w:val="28"/>
          <w:highlight w:val="none"/>
        </w:rPr>
        <w:instrText xml:space="preserve"> PAGEREF _Toc31093 \h </w:instrText>
      </w:r>
      <w:r>
        <w:rPr>
          <w:rFonts w:hint="eastAsia" w:ascii="仿宋_GB2312" w:hAnsi="仿宋_GB2312" w:eastAsia="仿宋_GB2312" w:cs="仿宋_GB2312"/>
          <w:color w:val="auto"/>
          <w:sz w:val="28"/>
          <w:szCs w:val="28"/>
          <w:highlight w:val="none"/>
        </w:rPr>
        <w:fldChar w:fldCharType="separate"/>
      </w:r>
      <w:r>
        <w:rPr>
          <w:rFonts w:hint="eastAsia" w:ascii="仿宋_GB2312" w:hAnsi="仿宋_GB2312" w:eastAsia="仿宋_GB2312" w:cs="仿宋_GB2312"/>
          <w:color w:val="auto"/>
          <w:sz w:val="28"/>
          <w:szCs w:val="28"/>
          <w:highlight w:val="none"/>
        </w:rPr>
        <w:t>30</w:t>
      </w:r>
      <w:r>
        <w:rPr>
          <w:rFonts w:hint="eastAsia" w:ascii="仿宋_GB2312" w:hAnsi="仿宋_GB2312" w:eastAsia="仿宋_GB2312" w:cs="仿宋_GB2312"/>
          <w:color w:val="auto"/>
          <w:sz w:val="28"/>
          <w:szCs w:val="28"/>
          <w:highlight w:val="none"/>
        </w:rPr>
        <w:fldChar w:fldCharType="end"/>
      </w:r>
      <w:r>
        <w:rPr>
          <w:rFonts w:hint="eastAsia" w:ascii="仿宋_GB2312" w:hAnsi="仿宋_GB2312" w:eastAsia="仿宋_GB2312" w:cs="仿宋_GB2312"/>
          <w:color w:val="auto"/>
          <w:sz w:val="28"/>
          <w:szCs w:val="28"/>
          <w:highlight w:val="none"/>
        </w:rPr>
        <w:fldChar w:fldCharType="end"/>
      </w:r>
    </w:p>
    <w:p>
      <w:pPr>
        <w:pStyle w:val="10"/>
        <w:shd w:val="clear" w:color="auto" w:fill="FFFFFF" w:themeFill="background1"/>
        <w:tabs>
          <w:tab w:val="left" w:pos="1080"/>
        </w:tabs>
        <w:spacing w:line="560" w:lineRule="exact"/>
        <w:jc w:val="center"/>
        <w:rPr>
          <w:rFonts w:ascii="方正小标宋简体" w:hAnsi="方正小标宋简体" w:eastAsia="方正小标宋简体" w:cs="楷体"/>
          <w:b/>
          <w:color w:val="auto"/>
          <w:sz w:val="40"/>
          <w:szCs w:val="40"/>
          <w:highlight w:val="none"/>
        </w:rPr>
        <w:sectPr>
          <w:footerReference r:id="rId8" w:type="default"/>
          <w:pgSz w:w="11906" w:h="16838"/>
          <w:pgMar w:top="2098" w:right="1474" w:bottom="1985" w:left="1588" w:header="851" w:footer="992" w:gutter="0"/>
          <w:pgNumType w:start="1"/>
          <w:cols w:space="720" w:num="1"/>
          <w:docGrid w:type="lines" w:linePitch="312" w:charSpace="0"/>
        </w:sectPr>
      </w:pPr>
      <w:r>
        <w:rPr>
          <w:rFonts w:hint="eastAsia" w:ascii="仿宋_GB2312" w:hAnsi="仿宋_GB2312" w:eastAsia="仿宋_GB2312" w:cs="仿宋_GB2312"/>
          <w:color w:val="auto"/>
          <w:sz w:val="28"/>
          <w:szCs w:val="28"/>
          <w:highlight w:val="none"/>
        </w:rPr>
        <w:fldChar w:fldCharType="end"/>
      </w:r>
    </w:p>
    <w:p>
      <w:pPr>
        <w:ind w:left="1800" w:hanging="1800" w:hangingChars="500"/>
        <w:jc w:val="center"/>
        <w:rPr>
          <w:rFonts w:ascii="方正小标宋简体" w:hAnsi="方正小标宋简体" w:eastAsia="方正小标宋简体" w:cs="楷体"/>
          <w:color w:val="auto"/>
          <w:sz w:val="36"/>
          <w:szCs w:val="36"/>
          <w:highlight w:val="none"/>
        </w:rPr>
      </w:pPr>
      <w:r>
        <w:rPr>
          <w:rFonts w:hint="eastAsia" w:ascii="方正小标宋简体" w:hAnsi="方正小标宋简体" w:eastAsia="方正小标宋简体" w:cs="楷体"/>
          <w:color w:val="auto"/>
          <w:sz w:val="36"/>
          <w:szCs w:val="36"/>
          <w:highlight w:val="none"/>
        </w:rPr>
        <w:t>通城经济开发区2022年度项目服务经费项目</w:t>
      </w:r>
    </w:p>
    <w:p>
      <w:pPr>
        <w:ind w:left="1800" w:hanging="1800" w:hangingChars="500"/>
        <w:jc w:val="center"/>
        <w:rPr>
          <w:rFonts w:ascii="方正小标宋简体" w:hAnsi="方正小标宋简体" w:eastAsia="方正小标宋简体" w:cs="楷体"/>
          <w:color w:val="auto"/>
          <w:sz w:val="36"/>
          <w:szCs w:val="36"/>
          <w:highlight w:val="none"/>
        </w:rPr>
      </w:pPr>
      <w:r>
        <w:rPr>
          <w:rFonts w:hint="eastAsia" w:ascii="方正小标宋简体" w:hAnsi="方正小标宋简体" w:eastAsia="方正小标宋简体" w:cs="楷体"/>
          <w:color w:val="auto"/>
          <w:sz w:val="36"/>
          <w:szCs w:val="36"/>
          <w:highlight w:val="none"/>
        </w:rPr>
        <w:t>绩效评价报告</w:t>
      </w:r>
    </w:p>
    <w:p>
      <w:pPr>
        <w:spacing w:line="560" w:lineRule="exact"/>
        <w:ind w:firstLine="3534" w:firstLineChars="1100"/>
        <w:rPr>
          <w:rFonts w:ascii="楷体_GB2312" w:hAnsi="楷体" w:eastAsia="楷体_GB2312" w:cs="楷体"/>
          <w:b/>
          <w:color w:val="auto"/>
          <w:sz w:val="32"/>
          <w:szCs w:val="32"/>
          <w:highlight w:val="none"/>
        </w:rPr>
      </w:pPr>
      <w:r>
        <w:rPr>
          <w:rFonts w:hint="eastAsia" w:ascii="楷体_GB2312" w:hAnsi="楷体" w:eastAsia="楷体_GB2312" w:cs="楷体"/>
          <w:b/>
          <w:bCs/>
          <w:color w:val="auto"/>
          <w:sz w:val="32"/>
          <w:szCs w:val="32"/>
          <w:highlight w:val="none"/>
        </w:rPr>
        <w:t>（缩略版）</w:t>
      </w:r>
    </w:p>
    <w:p>
      <w:pPr>
        <w:spacing w:line="560" w:lineRule="exact"/>
        <w:outlineLvl w:val="0"/>
        <w:rPr>
          <w:rFonts w:ascii="楷体" w:hAnsi="楷体" w:eastAsia="楷体" w:cs="楷体"/>
          <w:b/>
          <w:bCs/>
          <w:color w:val="auto"/>
          <w:sz w:val="10"/>
          <w:szCs w:val="10"/>
          <w:highlight w:val="none"/>
        </w:rPr>
      </w:pPr>
    </w:p>
    <w:p>
      <w:pPr>
        <w:spacing w:line="560" w:lineRule="exact"/>
        <w:ind w:firstLine="640" w:firstLineChars="200"/>
        <w:outlineLvl w:val="0"/>
        <w:rPr>
          <w:rFonts w:ascii="黑体" w:hAnsi="黑体" w:eastAsia="黑体" w:cs="楷体"/>
          <w:bCs/>
          <w:color w:val="auto"/>
          <w:sz w:val="32"/>
          <w:szCs w:val="32"/>
          <w:highlight w:val="none"/>
        </w:rPr>
      </w:pPr>
      <w:bookmarkStart w:id="0" w:name="_Toc13830"/>
      <w:bookmarkStart w:id="1" w:name="_Toc30426"/>
      <w:r>
        <w:rPr>
          <w:rFonts w:ascii="黑体" w:hAnsi="黑体" w:eastAsia="黑体" w:cs="楷体"/>
          <w:bCs/>
          <w:color w:val="auto"/>
          <w:sz w:val="32"/>
          <w:szCs w:val="32"/>
          <w:highlight w:val="none"/>
        </w:rPr>
        <w:t>一、</w:t>
      </w:r>
      <w:r>
        <w:rPr>
          <w:rFonts w:hint="eastAsia" w:ascii="黑体" w:hAnsi="黑体" w:eastAsia="黑体" w:cs="楷体"/>
          <w:bCs/>
          <w:color w:val="auto"/>
          <w:sz w:val="32"/>
          <w:szCs w:val="32"/>
          <w:highlight w:val="none"/>
        </w:rPr>
        <w:t>评价结论</w:t>
      </w:r>
      <w:bookmarkEnd w:id="0"/>
      <w:bookmarkEnd w:id="1"/>
    </w:p>
    <w:p>
      <w:pPr>
        <w:pStyle w:val="31"/>
        <w:spacing w:line="560" w:lineRule="exact"/>
        <w:ind w:firstLine="418" w:firstLineChars="130"/>
        <w:outlineLvl w:val="1"/>
        <w:rPr>
          <w:rFonts w:ascii="楷体_GB2312" w:hAnsi="楷体" w:eastAsia="楷体_GB2312" w:cs="楷体"/>
          <w:b/>
          <w:bCs/>
          <w:color w:val="auto"/>
          <w:sz w:val="32"/>
          <w:szCs w:val="32"/>
          <w:highlight w:val="none"/>
        </w:rPr>
      </w:pPr>
      <w:bookmarkStart w:id="2" w:name="_Toc20240"/>
      <w:bookmarkStart w:id="3" w:name="_Toc7406"/>
      <w:r>
        <w:rPr>
          <w:rFonts w:hint="eastAsia" w:ascii="楷体_GB2312" w:hAnsi="楷体" w:eastAsia="楷体_GB2312" w:cs="楷体"/>
          <w:b/>
          <w:bCs/>
          <w:color w:val="auto"/>
          <w:sz w:val="32"/>
          <w:szCs w:val="32"/>
          <w:highlight w:val="none"/>
        </w:rPr>
        <w:t>（一）项目绩效评价分数与等级</w:t>
      </w:r>
      <w:bookmarkEnd w:id="2"/>
      <w:bookmarkEnd w:id="3"/>
    </w:p>
    <w:p>
      <w:pPr>
        <w:spacing w:line="560" w:lineRule="exact"/>
        <w:ind w:firstLine="640" w:firstLineChars="200"/>
        <w:rPr>
          <w:rFonts w:ascii="仿宋_GB2312" w:hAnsi="仿宋" w:eastAsia="仿宋_GB2312" w:cs="宋体"/>
          <w:bCs/>
          <w:color w:val="auto"/>
          <w:sz w:val="28"/>
          <w:szCs w:val="28"/>
          <w:highlight w:val="none"/>
        </w:rPr>
      </w:pPr>
      <w:r>
        <w:rPr>
          <w:rFonts w:hint="eastAsia" w:ascii="仿宋_GB2312" w:hAnsi="仿宋" w:eastAsia="仿宋_GB2312" w:cs="宋体"/>
          <w:color w:val="auto"/>
          <w:sz w:val="32"/>
          <w:szCs w:val="32"/>
          <w:highlight w:val="none"/>
        </w:rPr>
        <w:t>通城经济开发区2022年度项目服务经费项目绩效评价</w:t>
      </w:r>
      <w:r>
        <w:rPr>
          <w:rFonts w:hint="eastAsia" w:ascii="仿宋_GB2312" w:hAnsi="仿宋" w:eastAsia="仿宋_GB2312"/>
          <w:color w:val="auto"/>
          <w:sz w:val="32"/>
          <w:szCs w:val="32"/>
          <w:highlight w:val="none"/>
        </w:rPr>
        <w:t>指标设计</w:t>
      </w:r>
      <w:r>
        <w:rPr>
          <w:rFonts w:hint="eastAsia" w:ascii="仿宋_GB2312" w:hAnsi="仿宋" w:eastAsia="仿宋_GB2312" w:cs="宋体"/>
          <w:color w:val="auto"/>
          <w:sz w:val="32"/>
          <w:szCs w:val="32"/>
          <w:highlight w:val="none"/>
        </w:rPr>
        <w:t>基础总分100分，综合评价得分</w:t>
      </w:r>
      <w:r>
        <w:rPr>
          <w:rFonts w:hint="eastAsia" w:ascii="仿宋_GB2312" w:hAnsi="仿宋" w:eastAsia="仿宋_GB2312" w:cs="宋体"/>
          <w:color w:val="auto"/>
          <w:sz w:val="32"/>
          <w:szCs w:val="32"/>
          <w:highlight w:val="none"/>
          <w:lang w:eastAsia="zh-CN"/>
        </w:rPr>
        <w:t>87.91</w:t>
      </w:r>
      <w:r>
        <w:rPr>
          <w:rFonts w:hint="eastAsia" w:ascii="仿宋_GB2312" w:hAnsi="仿宋" w:eastAsia="仿宋_GB2312" w:cs="宋体"/>
          <w:color w:val="auto"/>
          <w:sz w:val="32"/>
          <w:szCs w:val="32"/>
          <w:highlight w:val="none"/>
        </w:rPr>
        <w:t>分，评价等级为“</w:t>
      </w:r>
      <w:r>
        <w:rPr>
          <w:rFonts w:hint="eastAsia" w:ascii="仿宋_GB2312" w:hAnsi="仿宋" w:eastAsia="仿宋_GB2312" w:cs="宋体"/>
          <w:color w:val="auto"/>
          <w:sz w:val="32"/>
          <w:szCs w:val="32"/>
          <w:highlight w:val="none"/>
          <w:lang w:val="en-US" w:eastAsia="zh-CN"/>
        </w:rPr>
        <w:t>良</w:t>
      </w:r>
      <w:r>
        <w:rPr>
          <w:rFonts w:hint="eastAsia" w:ascii="仿宋_GB2312" w:hAnsi="仿宋" w:eastAsia="仿宋_GB2312" w:cs="宋体"/>
          <w:color w:val="auto"/>
          <w:sz w:val="32"/>
          <w:szCs w:val="32"/>
          <w:highlight w:val="none"/>
        </w:rPr>
        <w:t>”。（各项指标得分情况详见后附得分表）</w:t>
      </w:r>
    </w:p>
    <w:p>
      <w:pPr>
        <w:pStyle w:val="31"/>
        <w:spacing w:line="560" w:lineRule="exact"/>
        <w:ind w:firstLineChars="0"/>
        <w:outlineLvl w:val="1"/>
        <w:rPr>
          <w:rFonts w:ascii="楷体_GB2312" w:hAnsi="楷体" w:eastAsia="楷体_GB2312"/>
          <w:b/>
          <w:color w:val="auto"/>
          <w:sz w:val="30"/>
          <w:szCs w:val="30"/>
          <w:highlight w:val="none"/>
        </w:rPr>
      </w:pPr>
      <w:bookmarkStart w:id="4" w:name="_Toc14742"/>
      <w:bookmarkStart w:id="5" w:name="_Toc3128"/>
      <w:r>
        <w:rPr>
          <w:rFonts w:hint="eastAsia" w:ascii="楷体_GB2312" w:hAnsi="楷体" w:eastAsia="楷体_GB2312" w:cs="宋体"/>
          <w:b/>
          <w:bCs/>
          <w:color w:val="auto"/>
          <w:sz w:val="32"/>
          <w:szCs w:val="32"/>
          <w:highlight w:val="none"/>
        </w:rPr>
        <w:t>（二）绩效评价指标情况</w:t>
      </w:r>
      <w:bookmarkEnd w:id="4"/>
      <w:bookmarkEnd w:id="5"/>
    </w:p>
    <w:p>
      <w:pPr>
        <w:spacing w:line="560" w:lineRule="exact"/>
        <w:ind w:firstLine="643" w:firstLineChars="200"/>
        <w:rPr>
          <w:rFonts w:ascii="仿宋_GB2312" w:hAnsi="仿宋" w:eastAsia="仿宋_GB2312"/>
          <w:color w:val="auto"/>
          <w:sz w:val="32"/>
          <w:szCs w:val="32"/>
          <w:highlight w:val="none"/>
        </w:rPr>
      </w:pPr>
      <w:r>
        <w:rPr>
          <w:rFonts w:hint="eastAsia" w:ascii="仿宋_GB2312" w:hAnsi="仿宋" w:eastAsia="仿宋_GB2312" w:cs="宋体"/>
          <w:b/>
          <w:color w:val="auto"/>
          <w:sz w:val="32"/>
          <w:szCs w:val="32"/>
          <w:highlight w:val="none"/>
        </w:rPr>
        <w:t>1.决策。</w:t>
      </w:r>
      <w:bookmarkStart w:id="6" w:name="_Hlk70499057"/>
      <w:r>
        <w:rPr>
          <w:rFonts w:hint="eastAsia" w:ascii="仿宋_GB2312" w:hAnsi="仿宋" w:eastAsia="仿宋_GB2312" w:cs="宋体"/>
          <w:bCs/>
          <w:color w:val="auto"/>
          <w:sz w:val="32"/>
          <w:szCs w:val="32"/>
          <w:highlight w:val="none"/>
        </w:rPr>
        <w:t>决策权重</w:t>
      </w:r>
      <w:r>
        <w:rPr>
          <w:rFonts w:hint="eastAsia" w:ascii="仿宋_GB2312" w:hAnsi="仿宋" w:eastAsia="仿宋_GB2312" w:cs="Calibri"/>
          <w:color w:val="auto"/>
          <w:sz w:val="32"/>
          <w:szCs w:val="32"/>
          <w:highlight w:val="none"/>
        </w:rPr>
        <w:t>17</w:t>
      </w:r>
      <w:r>
        <w:rPr>
          <w:rFonts w:hint="eastAsia" w:ascii="仿宋_GB2312" w:hAnsi="仿宋" w:eastAsia="仿宋_GB2312"/>
          <w:color w:val="auto"/>
          <w:sz w:val="32"/>
          <w:szCs w:val="32"/>
          <w:highlight w:val="none"/>
        </w:rPr>
        <w:t>分，得分</w:t>
      </w:r>
      <w:r>
        <w:rPr>
          <w:rFonts w:ascii="仿宋_GB2312" w:hAnsi="仿宋" w:eastAsia="仿宋_GB2312"/>
          <w:color w:val="auto"/>
          <w:sz w:val="32"/>
          <w:szCs w:val="32"/>
          <w:highlight w:val="none"/>
        </w:rPr>
        <w:t>1</w:t>
      </w:r>
      <w:r>
        <w:rPr>
          <w:rFonts w:hint="eastAsia" w:ascii="仿宋_GB2312" w:hAnsi="仿宋" w:eastAsia="仿宋_GB2312"/>
          <w:color w:val="auto"/>
          <w:sz w:val="32"/>
          <w:szCs w:val="32"/>
          <w:highlight w:val="none"/>
          <w:lang w:val="en-US" w:eastAsia="zh-CN"/>
        </w:rPr>
        <w:t>5</w:t>
      </w:r>
      <w:r>
        <w:rPr>
          <w:rFonts w:hint="eastAsia" w:ascii="仿宋_GB2312" w:hAnsi="仿宋" w:eastAsia="仿宋_GB2312"/>
          <w:color w:val="auto"/>
          <w:sz w:val="32"/>
          <w:szCs w:val="32"/>
          <w:highlight w:val="none"/>
        </w:rPr>
        <w:t>分，扣分</w:t>
      </w:r>
      <w:r>
        <w:rPr>
          <w:rFonts w:hint="eastAsia" w:ascii="仿宋_GB2312" w:hAnsi="仿宋" w:eastAsia="仿宋_GB2312"/>
          <w:color w:val="auto"/>
          <w:sz w:val="32"/>
          <w:szCs w:val="32"/>
          <w:highlight w:val="none"/>
          <w:lang w:val="en-US" w:eastAsia="zh-CN"/>
        </w:rPr>
        <w:t>2</w:t>
      </w:r>
      <w:r>
        <w:rPr>
          <w:rFonts w:hint="eastAsia" w:ascii="仿宋_GB2312" w:hAnsi="仿宋" w:eastAsia="仿宋_GB2312" w:cs="宋体"/>
          <w:color w:val="auto"/>
          <w:sz w:val="32"/>
          <w:szCs w:val="32"/>
          <w:highlight w:val="none"/>
        </w:rPr>
        <w:t>分。</w:t>
      </w:r>
      <w:bookmarkEnd w:id="6"/>
      <w:r>
        <w:rPr>
          <w:rFonts w:hint="eastAsia" w:ascii="仿宋_GB2312" w:hAnsi="仿宋" w:eastAsia="仿宋_GB2312" w:cs="宋体"/>
          <w:color w:val="auto"/>
          <w:sz w:val="32"/>
          <w:szCs w:val="32"/>
          <w:highlight w:val="none"/>
        </w:rPr>
        <w:t>项目</w:t>
      </w:r>
      <w:r>
        <w:rPr>
          <w:rFonts w:hint="eastAsia" w:ascii="仿宋_GB2312" w:hAnsi="仿宋" w:eastAsia="仿宋_GB2312"/>
          <w:color w:val="auto"/>
          <w:sz w:val="32"/>
          <w:szCs w:val="32"/>
          <w:highlight w:val="none"/>
        </w:rPr>
        <w:t>立项依据充分，申报审批程序规范；绩效目标合理，绩效指标明确</w:t>
      </w:r>
      <w:r>
        <w:rPr>
          <w:rFonts w:hint="eastAsia" w:ascii="仿宋_GB2312" w:hAnsi="仿宋" w:eastAsia="仿宋_GB2312" w:cs="宋体"/>
          <w:bCs/>
          <w:color w:val="auto"/>
          <w:sz w:val="32"/>
          <w:szCs w:val="32"/>
          <w:highlight w:val="none"/>
        </w:rPr>
        <w:t>。主要扣分</w:t>
      </w:r>
      <w:r>
        <w:rPr>
          <w:rFonts w:hint="eastAsia" w:ascii="仿宋_GB2312" w:hAnsi="仿宋" w:eastAsia="仿宋_GB2312" w:cs="宋体"/>
          <w:bCs/>
          <w:color w:val="auto"/>
          <w:sz w:val="32"/>
          <w:szCs w:val="32"/>
          <w:highlight w:val="none"/>
          <w:lang w:val="en-US" w:eastAsia="zh-CN"/>
        </w:rPr>
        <w:t>之处</w:t>
      </w:r>
      <w:r>
        <w:rPr>
          <w:rFonts w:hint="eastAsia" w:ascii="仿宋_GB2312" w:hAnsi="仿宋" w:eastAsia="仿宋_GB2312" w:cs="宋体"/>
          <w:bCs/>
          <w:color w:val="auto"/>
          <w:sz w:val="32"/>
          <w:szCs w:val="32"/>
          <w:highlight w:val="none"/>
        </w:rPr>
        <w:t>在于：</w:t>
      </w:r>
      <w:r>
        <w:rPr>
          <w:rFonts w:hint="eastAsia" w:ascii="仿宋_GB2312" w:hAnsi="仿宋" w:eastAsia="仿宋_GB2312" w:cs="宋体"/>
          <w:bCs/>
          <w:color w:val="auto"/>
          <w:sz w:val="32"/>
          <w:szCs w:val="32"/>
          <w:highlight w:val="none"/>
          <w:lang w:val="en-US" w:eastAsia="zh-CN"/>
        </w:rPr>
        <w:t>项目预算编制不精准，预算确定的项目资金量与合同工作任务约定的资金量不一致。</w:t>
      </w:r>
    </w:p>
    <w:p>
      <w:pPr>
        <w:spacing w:line="560" w:lineRule="exact"/>
        <w:ind w:firstLine="643" w:firstLineChars="200"/>
        <w:rPr>
          <w:rFonts w:ascii="仿宋_GB2312" w:hAnsi="仿宋" w:eastAsia="仿宋_GB2312"/>
          <w:color w:val="auto"/>
          <w:sz w:val="32"/>
          <w:szCs w:val="32"/>
          <w:highlight w:val="none"/>
        </w:rPr>
      </w:pPr>
      <w:r>
        <w:rPr>
          <w:rFonts w:hint="eastAsia" w:ascii="仿宋_GB2312" w:hAnsi="仿宋" w:eastAsia="仿宋_GB2312" w:cs="宋体"/>
          <w:b/>
          <w:color w:val="auto"/>
          <w:sz w:val="32"/>
          <w:szCs w:val="32"/>
          <w:highlight w:val="none"/>
        </w:rPr>
        <w:t>2.过程。</w:t>
      </w:r>
      <w:r>
        <w:rPr>
          <w:rFonts w:hint="eastAsia" w:ascii="仿宋_GB2312" w:hAnsi="仿宋" w:eastAsia="仿宋_GB2312"/>
          <w:color w:val="auto"/>
          <w:sz w:val="32"/>
          <w:szCs w:val="32"/>
          <w:highlight w:val="none"/>
        </w:rPr>
        <w:t>过程权重2</w:t>
      </w:r>
      <w:r>
        <w:rPr>
          <w:rFonts w:ascii="仿宋_GB2312" w:hAnsi="仿宋" w:eastAsia="仿宋_GB2312"/>
          <w:color w:val="auto"/>
          <w:sz w:val="32"/>
          <w:szCs w:val="32"/>
          <w:highlight w:val="none"/>
        </w:rPr>
        <w:t>2</w:t>
      </w:r>
      <w:r>
        <w:rPr>
          <w:rFonts w:hint="eastAsia" w:ascii="仿宋_GB2312" w:hAnsi="仿宋" w:eastAsia="仿宋_GB2312"/>
          <w:color w:val="auto"/>
          <w:sz w:val="32"/>
          <w:szCs w:val="32"/>
          <w:highlight w:val="none"/>
        </w:rPr>
        <w:t>分，得分</w:t>
      </w:r>
      <w:r>
        <w:rPr>
          <w:rFonts w:ascii="仿宋_GB2312" w:hAnsi="仿宋" w:eastAsia="仿宋_GB2312"/>
          <w:color w:val="auto"/>
          <w:sz w:val="32"/>
          <w:szCs w:val="32"/>
          <w:highlight w:val="none"/>
        </w:rPr>
        <w:t>1</w:t>
      </w:r>
      <w:r>
        <w:rPr>
          <w:rFonts w:hint="eastAsia" w:ascii="仿宋_GB2312" w:hAnsi="仿宋" w:eastAsia="仿宋_GB2312"/>
          <w:color w:val="auto"/>
          <w:sz w:val="32"/>
          <w:szCs w:val="32"/>
          <w:highlight w:val="none"/>
          <w:lang w:val="en-US" w:eastAsia="zh-CN"/>
        </w:rPr>
        <w:t>8.91</w:t>
      </w:r>
      <w:r>
        <w:rPr>
          <w:rFonts w:hint="eastAsia" w:ascii="仿宋_GB2312" w:hAnsi="仿宋" w:eastAsia="仿宋_GB2312"/>
          <w:color w:val="auto"/>
          <w:sz w:val="32"/>
          <w:szCs w:val="32"/>
          <w:highlight w:val="none"/>
        </w:rPr>
        <w:t>分，扣分</w:t>
      </w:r>
      <w:r>
        <w:rPr>
          <w:rFonts w:hint="eastAsia" w:ascii="仿宋_GB2312" w:hAnsi="仿宋" w:eastAsia="仿宋_GB2312"/>
          <w:color w:val="auto"/>
          <w:sz w:val="32"/>
          <w:szCs w:val="32"/>
          <w:highlight w:val="none"/>
          <w:lang w:val="en-US" w:eastAsia="zh-CN"/>
        </w:rPr>
        <w:t>3.09</w:t>
      </w:r>
      <w:r>
        <w:rPr>
          <w:rFonts w:hint="eastAsia" w:ascii="仿宋_GB2312" w:hAnsi="仿宋" w:eastAsia="仿宋_GB2312"/>
          <w:color w:val="auto"/>
          <w:sz w:val="32"/>
          <w:szCs w:val="32"/>
          <w:highlight w:val="none"/>
        </w:rPr>
        <w:t>分。财务和业务管理制度健全，项目的申报、审核及资金拨付管理工作较为规范；资金使用符合项目用途，未发现资金违规使用问题。主要扣分</w:t>
      </w:r>
      <w:r>
        <w:rPr>
          <w:rFonts w:hint="eastAsia" w:ascii="仿宋_GB2312" w:hAnsi="仿宋" w:eastAsia="仿宋_GB2312"/>
          <w:color w:val="auto"/>
          <w:sz w:val="32"/>
          <w:szCs w:val="32"/>
          <w:highlight w:val="none"/>
          <w:lang w:val="en-US" w:eastAsia="zh-CN"/>
        </w:rPr>
        <w:t>之处</w:t>
      </w:r>
      <w:r>
        <w:rPr>
          <w:rFonts w:hint="eastAsia" w:ascii="仿宋_GB2312" w:hAnsi="仿宋" w:eastAsia="仿宋_GB2312"/>
          <w:color w:val="auto"/>
          <w:sz w:val="32"/>
          <w:szCs w:val="32"/>
          <w:highlight w:val="none"/>
        </w:rPr>
        <w:t>在于：一是绩效管理</w:t>
      </w:r>
      <w:r>
        <w:rPr>
          <w:rFonts w:hint="eastAsia" w:ascii="仿宋_GB2312" w:hAnsi="仿宋" w:eastAsia="仿宋_GB2312"/>
          <w:color w:val="auto"/>
          <w:sz w:val="32"/>
          <w:szCs w:val="32"/>
          <w:highlight w:val="none"/>
          <w:lang w:val="en-US" w:eastAsia="zh-CN"/>
        </w:rPr>
        <w:t>不规范，</w:t>
      </w:r>
      <w:r>
        <w:rPr>
          <w:rFonts w:hint="eastAsia" w:ascii="仿宋_GB2312" w:hAnsi="仿宋" w:eastAsia="仿宋_GB2312"/>
          <w:color w:val="auto"/>
          <w:sz w:val="32"/>
          <w:szCs w:val="32"/>
          <w:highlight w:val="none"/>
        </w:rPr>
        <w:t>项目绩效监控表中产出指标与绩效目标申报表的产出指标不一致；二是</w:t>
      </w:r>
      <w:r>
        <w:rPr>
          <w:rFonts w:hint="eastAsia" w:ascii="仿宋_GB2312" w:hAnsi="仿宋" w:eastAsia="仿宋_GB2312"/>
          <w:bCs/>
          <w:color w:val="auto"/>
          <w:sz w:val="32"/>
          <w:szCs w:val="32"/>
          <w:highlight w:val="none"/>
        </w:rPr>
        <w:t>项目档案</w:t>
      </w:r>
      <w:r>
        <w:rPr>
          <w:rFonts w:hint="eastAsia" w:ascii="仿宋_GB2312" w:hAnsi="仿宋" w:eastAsia="仿宋_GB2312"/>
          <w:bCs/>
          <w:color w:val="auto"/>
          <w:sz w:val="32"/>
          <w:szCs w:val="32"/>
          <w:highlight w:val="none"/>
          <w:lang w:val="en-US" w:eastAsia="zh-CN"/>
        </w:rPr>
        <w:t>收集</w:t>
      </w:r>
      <w:r>
        <w:rPr>
          <w:rFonts w:hint="eastAsia" w:ascii="仿宋_GB2312" w:hAnsi="仿宋" w:eastAsia="仿宋_GB2312"/>
          <w:bCs/>
          <w:color w:val="auto"/>
          <w:sz w:val="32"/>
          <w:szCs w:val="32"/>
          <w:highlight w:val="none"/>
        </w:rPr>
        <w:t>管理不</w:t>
      </w:r>
      <w:r>
        <w:rPr>
          <w:rFonts w:hint="eastAsia" w:ascii="仿宋_GB2312" w:hAnsi="仿宋" w:eastAsia="仿宋_GB2312"/>
          <w:bCs/>
          <w:color w:val="auto"/>
          <w:sz w:val="32"/>
          <w:szCs w:val="32"/>
          <w:highlight w:val="none"/>
          <w:lang w:val="en-US" w:eastAsia="zh-CN"/>
        </w:rPr>
        <w:t>到位</w:t>
      </w:r>
      <w:r>
        <w:rPr>
          <w:rFonts w:hint="eastAsia" w:ascii="仿宋_GB2312" w:hAnsi="仿宋" w:eastAsia="仿宋_GB2312"/>
          <w:bCs/>
          <w:color w:val="auto"/>
          <w:sz w:val="32"/>
          <w:szCs w:val="32"/>
          <w:highlight w:val="none"/>
        </w:rPr>
        <w:t>，资料</w:t>
      </w:r>
      <w:r>
        <w:rPr>
          <w:rFonts w:hint="eastAsia" w:ascii="仿宋_GB2312" w:hAnsi="仿宋" w:eastAsia="仿宋_GB2312"/>
          <w:bCs/>
          <w:color w:val="auto"/>
          <w:sz w:val="32"/>
          <w:szCs w:val="32"/>
          <w:highlight w:val="none"/>
          <w:lang w:val="en-US" w:eastAsia="zh-CN"/>
        </w:rPr>
        <w:t>较为零散</w:t>
      </w:r>
      <w:r>
        <w:rPr>
          <w:rFonts w:hint="eastAsia" w:ascii="仿宋_GB2312" w:hAnsi="仿宋" w:eastAsia="仿宋_GB2312"/>
          <w:bCs/>
          <w:color w:val="auto"/>
          <w:sz w:val="32"/>
          <w:szCs w:val="32"/>
          <w:highlight w:val="none"/>
        </w:rPr>
        <w:t>。</w:t>
      </w:r>
    </w:p>
    <w:p>
      <w:pPr>
        <w:spacing w:line="560" w:lineRule="exact"/>
        <w:ind w:firstLine="615"/>
        <w:rPr>
          <w:rFonts w:hint="default" w:ascii="仿宋_GB2312" w:hAnsi="仿宋" w:eastAsia="仿宋_GB2312" w:cs="楷体"/>
          <w:bCs/>
          <w:color w:val="auto"/>
          <w:sz w:val="32"/>
          <w:szCs w:val="32"/>
          <w:highlight w:val="none"/>
          <w:lang w:val="en-US" w:eastAsia="zh-CN"/>
        </w:rPr>
      </w:pPr>
      <w:r>
        <w:rPr>
          <w:rFonts w:hint="eastAsia" w:ascii="仿宋_GB2312" w:hAnsi="仿宋" w:eastAsia="仿宋_GB2312"/>
          <w:b/>
          <w:color w:val="auto"/>
          <w:sz w:val="32"/>
          <w:szCs w:val="32"/>
          <w:highlight w:val="none"/>
        </w:rPr>
        <w:t>3.产出。</w:t>
      </w:r>
      <w:r>
        <w:rPr>
          <w:rFonts w:hint="eastAsia" w:ascii="仿宋_GB2312" w:hAnsi="仿宋" w:eastAsia="仿宋_GB2312"/>
          <w:color w:val="auto"/>
          <w:sz w:val="32"/>
          <w:szCs w:val="32"/>
          <w:highlight w:val="none"/>
        </w:rPr>
        <w:t>产出权重3</w:t>
      </w:r>
      <w:r>
        <w:rPr>
          <w:rFonts w:ascii="仿宋_GB2312" w:hAnsi="仿宋" w:eastAsia="仿宋_GB2312"/>
          <w:color w:val="auto"/>
          <w:sz w:val="32"/>
          <w:szCs w:val="32"/>
          <w:highlight w:val="none"/>
        </w:rPr>
        <w:t>6</w:t>
      </w:r>
      <w:r>
        <w:rPr>
          <w:rFonts w:hint="eastAsia" w:ascii="仿宋_GB2312" w:hAnsi="仿宋" w:eastAsia="仿宋_GB2312"/>
          <w:color w:val="auto"/>
          <w:sz w:val="32"/>
          <w:szCs w:val="32"/>
          <w:highlight w:val="none"/>
        </w:rPr>
        <w:t>分，得分</w:t>
      </w:r>
      <w:r>
        <w:rPr>
          <w:rFonts w:hint="eastAsia" w:ascii="仿宋_GB2312" w:hAnsi="仿宋" w:eastAsia="仿宋_GB2312"/>
          <w:color w:val="auto"/>
          <w:sz w:val="32"/>
          <w:szCs w:val="32"/>
          <w:highlight w:val="none"/>
          <w:lang w:val="en-US" w:eastAsia="zh-CN"/>
        </w:rPr>
        <w:t>29</w:t>
      </w:r>
      <w:r>
        <w:rPr>
          <w:rFonts w:hint="eastAsia" w:ascii="仿宋_GB2312" w:hAnsi="仿宋" w:eastAsia="仿宋_GB2312"/>
          <w:color w:val="auto"/>
          <w:sz w:val="32"/>
          <w:szCs w:val="32"/>
          <w:highlight w:val="none"/>
        </w:rPr>
        <w:t>分，扣分</w:t>
      </w:r>
      <w:r>
        <w:rPr>
          <w:rFonts w:hint="eastAsia" w:ascii="仿宋_GB2312" w:hAnsi="仿宋" w:eastAsia="仿宋_GB2312"/>
          <w:color w:val="auto"/>
          <w:sz w:val="32"/>
          <w:szCs w:val="32"/>
          <w:highlight w:val="none"/>
          <w:lang w:val="en-US" w:eastAsia="zh-CN"/>
        </w:rPr>
        <w:t>7</w:t>
      </w:r>
      <w:r>
        <w:rPr>
          <w:rFonts w:hint="eastAsia" w:ascii="仿宋_GB2312" w:hAnsi="仿宋" w:eastAsia="仿宋_GB2312"/>
          <w:color w:val="auto"/>
          <w:sz w:val="32"/>
          <w:szCs w:val="32"/>
          <w:highlight w:val="none"/>
        </w:rPr>
        <w:t>分。该项目包含三个子项目，</w:t>
      </w:r>
      <w:r>
        <w:rPr>
          <w:rFonts w:hint="eastAsia" w:ascii="仿宋_GB2312" w:hAnsi="仿宋" w:eastAsia="仿宋_GB2312" w:cs="楷体"/>
          <w:bCs/>
          <w:color w:val="auto"/>
          <w:sz w:val="32"/>
          <w:szCs w:val="32"/>
          <w:highlight w:val="none"/>
        </w:rPr>
        <w:t>环保管家服务、安全生产技术服务和突发环境事件应急预案编制技术服务</w:t>
      </w:r>
      <w:r>
        <w:rPr>
          <w:rFonts w:hint="eastAsia" w:ascii="仿宋_GB2312" w:hAnsi="仿宋" w:eastAsia="仿宋_GB2312"/>
          <w:color w:val="auto"/>
          <w:sz w:val="32"/>
          <w:szCs w:val="32"/>
          <w:highlight w:val="none"/>
        </w:rPr>
        <w:t>。</w:t>
      </w:r>
      <w:r>
        <w:rPr>
          <w:rFonts w:hint="eastAsia" w:ascii="仿宋_GB2312" w:hAnsi="仿宋" w:eastAsia="仿宋_GB2312" w:cs="楷体"/>
          <w:bCs/>
          <w:color w:val="auto"/>
          <w:sz w:val="32"/>
          <w:szCs w:val="32"/>
          <w:highlight w:val="none"/>
        </w:rPr>
        <w:t>环保管家服务、安全生产技术服务</w:t>
      </w:r>
      <w:r>
        <w:rPr>
          <w:rFonts w:hint="eastAsia" w:ascii="仿宋_GB2312" w:hAnsi="仿宋" w:eastAsia="仿宋_GB2312" w:cs="楷体"/>
          <w:bCs/>
          <w:color w:val="auto"/>
          <w:sz w:val="32"/>
          <w:szCs w:val="32"/>
          <w:highlight w:val="none"/>
          <w:lang w:val="en-US" w:eastAsia="zh-CN"/>
        </w:rPr>
        <w:t>2个</w:t>
      </w:r>
      <w:r>
        <w:rPr>
          <w:rFonts w:hint="eastAsia" w:ascii="仿宋_GB2312" w:hAnsi="仿宋" w:eastAsia="仿宋_GB2312" w:cs="楷体"/>
          <w:bCs/>
          <w:color w:val="auto"/>
          <w:sz w:val="32"/>
          <w:szCs w:val="32"/>
          <w:highlight w:val="none"/>
        </w:rPr>
        <w:t>子项目，经考评合格</w:t>
      </w:r>
      <w:r>
        <w:rPr>
          <w:rFonts w:hint="eastAsia" w:ascii="仿宋_GB2312" w:hAnsi="仿宋" w:eastAsia="仿宋_GB2312" w:cs="楷体"/>
          <w:bCs/>
          <w:color w:val="auto"/>
          <w:sz w:val="32"/>
          <w:szCs w:val="32"/>
          <w:highlight w:val="none"/>
          <w:lang w:val="en-US" w:eastAsia="zh-CN"/>
        </w:rPr>
        <w:t>后完成验收</w:t>
      </w:r>
      <w:r>
        <w:rPr>
          <w:rFonts w:hint="eastAsia" w:ascii="仿宋_GB2312" w:hAnsi="仿宋" w:eastAsia="仿宋_GB2312" w:cs="楷体"/>
          <w:bCs/>
          <w:color w:val="auto"/>
          <w:sz w:val="32"/>
          <w:szCs w:val="32"/>
          <w:highlight w:val="none"/>
          <w:lang w:eastAsia="zh-CN"/>
        </w:rPr>
        <w:t>；突发环境事件应急预案编制技术服务项目，于2021年9月26日经过专家组评审并提出修改意见，并于2021年10月10日根据专家意见修改完善后，报至咸宁市生态环境局通城县分局备案。</w:t>
      </w:r>
      <w:r>
        <w:rPr>
          <w:rFonts w:hint="eastAsia" w:ascii="仿宋_GB2312" w:hAnsi="仿宋" w:eastAsia="仿宋_GB2312" w:cs="楷体"/>
          <w:bCs/>
          <w:color w:val="auto"/>
          <w:sz w:val="32"/>
          <w:szCs w:val="32"/>
          <w:highlight w:val="none"/>
          <w:lang w:val="en-US" w:eastAsia="zh-CN"/>
        </w:rPr>
        <w:t>主要扣分之处在于：项目实际成本超出预算资金规模，该项目预算资金45万元，但实际成本合计54万元。</w:t>
      </w:r>
    </w:p>
    <w:p>
      <w:pPr>
        <w:spacing w:line="560" w:lineRule="exact"/>
        <w:ind w:firstLine="643" w:firstLineChars="200"/>
        <w:rPr>
          <w:rFonts w:ascii="仿宋_GB2312" w:hAnsi="仿宋" w:eastAsia="仿宋_GB2312" w:cs="仿宋"/>
          <w:color w:val="auto"/>
          <w:sz w:val="32"/>
          <w:szCs w:val="32"/>
          <w:highlight w:val="none"/>
        </w:rPr>
      </w:pPr>
      <w:r>
        <w:rPr>
          <w:rFonts w:hint="eastAsia" w:ascii="仿宋_GB2312" w:hAnsi="仿宋" w:eastAsia="仿宋_GB2312" w:cs="楷体"/>
          <w:b/>
          <w:bCs/>
          <w:color w:val="auto"/>
          <w:sz w:val="32"/>
          <w:szCs w:val="32"/>
          <w:highlight w:val="none"/>
        </w:rPr>
        <w:t>4.效果。</w:t>
      </w:r>
      <w:r>
        <w:rPr>
          <w:rFonts w:hint="eastAsia" w:ascii="仿宋_GB2312" w:hAnsi="仿宋" w:eastAsia="仿宋_GB2312"/>
          <w:color w:val="auto"/>
          <w:sz w:val="32"/>
          <w:szCs w:val="32"/>
          <w:highlight w:val="none"/>
        </w:rPr>
        <w:t>效果权重2</w:t>
      </w:r>
      <w:r>
        <w:rPr>
          <w:rFonts w:ascii="仿宋_GB2312" w:hAnsi="仿宋" w:eastAsia="仿宋_GB2312"/>
          <w:color w:val="auto"/>
          <w:sz w:val="32"/>
          <w:szCs w:val="32"/>
          <w:highlight w:val="none"/>
        </w:rPr>
        <w:t>5</w:t>
      </w:r>
      <w:r>
        <w:rPr>
          <w:rFonts w:hint="eastAsia" w:ascii="仿宋_GB2312" w:hAnsi="仿宋" w:eastAsia="仿宋_GB2312"/>
          <w:color w:val="auto"/>
          <w:sz w:val="32"/>
          <w:szCs w:val="32"/>
          <w:highlight w:val="none"/>
        </w:rPr>
        <w:t>分，得分</w:t>
      </w:r>
      <w:r>
        <w:rPr>
          <w:rFonts w:hint="eastAsia" w:ascii="仿宋_GB2312" w:hAnsi="仿宋" w:eastAsia="仿宋_GB2312"/>
          <w:color w:val="auto"/>
          <w:sz w:val="32"/>
          <w:szCs w:val="32"/>
          <w:highlight w:val="none"/>
          <w:lang w:val="en-US" w:eastAsia="zh-CN"/>
        </w:rPr>
        <w:t>25</w:t>
      </w:r>
      <w:r>
        <w:rPr>
          <w:rFonts w:hint="eastAsia" w:ascii="仿宋_GB2312" w:hAnsi="仿宋" w:eastAsia="仿宋_GB2312"/>
          <w:color w:val="auto"/>
          <w:sz w:val="32"/>
          <w:szCs w:val="32"/>
          <w:highlight w:val="none"/>
        </w:rPr>
        <w:t>分。项目实施</w:t>
      </w:r>
      <w:r>
        <w:rPr>
          <w:rFonts w:hint="eastAsia" w:ascii="仿宋_GB2312" w:hAnsi="仿宋" w:eastAsia="仿宋_GB2312"/>
          <w:color w:val="auto"/>
          <w:sz w:val="32"/>
          <w:szCs w:val="32"/>
          <w:highlight w:val="none"/>
          <w:lang w:val="en-US" w:eastAsia="zh-CN"/>
        </w:rPr>
        <w:t>完成后，可</w:t>
      </w:r>
      <w:r>
        <w:rPr>
          <w:rFonts w:hint="eastAsia" w:ascii="仿宋_GB2312" w:hAnsi="仿宋" w:eastAsia="仿宋_GB2312"/>
          <w:color w:val="auto"/>
          <w:sz w:val="32"/>
          <w:szCs w:val="32"/>
          <w:highlight w:val="none"/>
        </w:rPr>
        <w:t>推动开发区稳定、高效发展，给企业创造良好的经营环境，促进当地就业增长，带动企业和居民收入增长</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改善</w:t>
      </w:r>
      <w:r>
        <w:rPr>
          <w:rFonts w:hint="eastAsia" w:ascii="仿宋_GB2312" w:hAnsi="仿宋" w:eastAsia="仿宋_GB2312"/>
          <w:color w:val="auto"/>
          <w:sz w:val="32"/>
          <w:szCs w:val="32"/>
          <w:highlight w:val="none"/>
        </w:rPr>
        <w:t>开发区生态环境，提高企业废弃物科学处理能力</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为</w:t>
      </w:r>
      <w:r>
        <w:rPr>
          <w:rFonts w:hint="eastAsia" w:ascii="仿宋_GB2312" w:hAnsi="仿宋" w:eastAsia="仿宋_GB2312"/>
          <w:color w:val="auto"/>
          <w:sz w:val="32"/>
          <w:szCs w:val="32"/>
          <w:highlight w:val="none"/>
        </w:rPr>
        <w:t>企业安全生产</w:t>
      </w:r>
      <w:r>
        <w:rPr>
          <w:rFonts w:hint="eastAsia" w:ascii="仿宋_GB2312" w:hAnsi="仿宋" w:eastAsia="仿宋_GB2312"/>
          <w:color w:val="auto"/>
          <w:sz w:val="32"/>
          <w:szCs w:val="32"/>
          <w:highlight w:val="none"/>
          <w:lang w:val="en-US" w:eastAsia="zh-CN"/>
        </w:rPr>
        <w:t>提供保障；同时</w:t>
      </w:r>
      <w:r>
        <w:rPr>
          <w:rFonts w:hint="eastAsia" w:ascii="仿宋_GB2312" w:hAnsi="仿宋" w:eastAsia="仿宋_GB2312"/>
          <w:color w:val="auto"/>
          <w:sz w:val="32"/>
          <w:szCs w:val="32"/>
          <w:highlight w:val="none"/>
        </w:rPr>
        <w:t>调查结果</w:t>
      </w:r>
      <w:r>
        <w:rPr>
          <w:rFonts w:hint="eastAsia" w:ascii="仿宋_GB2312" w:hAnsi="仿宋" w:eastAsia="仿宋_GB2312" w:cs="楷体"/>
          <w:bCs/>
          <w:color w:val="auto"/>
          <w:sz w:val="32"/>
          <w:szCs w:val="32"/>
          <w:highlight w:val="none"/>
        </w:rPr>
        <w:t>满意程度较高，问卷调查结果超过</w:t>
      </w:r>
      <w:r>
        <w:rPr>
          <w:rFonts w:ascii="仿宋_GB2312" w:hAnsi="仿宋" w:eastAsia="仿宋_GB2312" w:cs="楷体"/>
          <w:bCs/>
          <w:color w:val="auto"/>
          <w:sz w:val="32"/>
          <w:szCs w:val="32"/>
          <w:highlight w:val="none"/>
        </w:rPr>
        <w:t>90</w:t>
      </w:r>
      <w:r>
        <w:rPr>
          <w:rFonts w:hint="eastAsia" w:ascii="仿宋_GB2312" w:hAnsi="仿宋" w:eastAsia="仿宋_GB2312" w:cs="楷体"/>
          <w:bCs/>
          <w:color w:val="auto"/>
          <w:sz w:val="32"/>
          <w:szCs w:val="32"/>
          <w:highlight w:val="none"/>
        </w:rPr>
        <w:t>%。</w:t>
      </w:r>
    </w:p>
    <w:p>
      <w:pPr>
        <w:spacing w:line="560" w:lineRule="exact"/>
        <w:ind w:firstLine="643" w:firstLineChars="200"/>
        <w:outlineLvl w:val="1"/>
        <w:rPr>
          <w:rFonts w:ascii="楷体_GB2312" w:hAnsi="楷体" w:eastAsia="楷体_GB2312" w:cs="仿宋"/>
          <w:b/>
          <w:color w:val="auto"/>
          <w:sz w:val="32"/>
          <w:szCs w:val="32"/>
          <w:highlight w:val="none"/>
        </w:rPr>
      </w:pPr>
      <w:bookmarkStart w:id="7" w:name="_Toc22216"/>
      <w:bookmarkStart w:id="8" w:name="_Toc8757"/>
      <w:r>
        <w:rPr>
          <w:rFonts w:hint="eastAsia" w:ascii="楷体_GB2312" w:hAnsi="楷体" w:eastAsia="楷体_GB2312" w:cs="仿宋"/>
          <w:b/>
          <w:color w:val="auto"/>
          <w:sz w:val="32"/>
          <w:szCs w:val="32"/>
          <w:highlight w:val="none"/>
        </w:rPr>
        <w:t>（三）以前年度结果应用情况</w:t>
      </w:r>
      <w:bookmarkEnd w:id="7"/>
      <w:bookmarkEnd w:id="8"/>
    </w:p>
    <w:p>
      <w:pPr>
        <w:spacing w:line="560" w:lineRule="exact"/>
        <w:ind w:firstLine="560"/>
        <w:rPr>
          <w:rFonts w:ascii="仿宋_GB2312" w:hAnsi="仿宋" w:eastAsia="仿宋_GB2312" w:cs="楷体"/>
          <w:bCs/>
          <w:color w:val="auto"/>
          <w:sz w:val="32"/>
          <w:szCs w:val="32"/>
          <w:highlight w:val="none"/>
        </w:rPr>
      </w:pPr>
      <w:r>
        <w:rPr>
          <w:rFonts w:hint="eastAsia" w:ascii="仿宋_GB2312" w:hAnsi="仿宋" w:eastAsia="仿宋_GB2312" w:cs="楷体"/>
          <w:bCs/>
          <w:color w:val="auto"/>
          <w:sz w:val="32"/>
          <w:szCs w:val="32"/>
          <w:highlight w:val="none"/>
        </w:rPr>
        <w:t>本次评价工作为该项目首次第三方评价，无以前年度评价结果应用情况。</w:t>
      </w:r>
    </w:p>
    <w:p>
      <w:pPr>
        <w:spacing w:line="560" w:lineRule="exact"/>
        <w:ind w:firstLine="643" w:firstLineChars="200"/>
        <w:outlineLvl w:val="1"/>
        <w:rPr>
          <w:rFonts w:ascii="楷体_GB2312" w:hAnsi="楷体" w:eastAsia="楷体_GB2312" w:cs="楷体"/>
          <w:b/>
          <w:bCs/>
          <w:color w:val="auto"/>
          <w:sz w:val="32"/>
          <w:szCs w:val="32"/>
          <w:highlight w:val="none"/>
        </w:rPr>
      </w:pPr>
      <w:bookmarkStart w:id="9" w:name="_Toc12241"/>
      <w:bookmarkStart w:id="10" w:name="_Toc23391"/>
      <w:r>
        <w:rPr>
          <w:rFonts w:hint="eastAsia" w:ascii="楷体_GB2312" w:hAnsi="楷体" w:eastAsia="楷体_GB2312" w:cs="楷体"/>
          <w:b/>
          <w:bCs/>
          <w:color w:val="auto"/>
          <w:sz w:val="32"/>
          <w:szCs w:val="32"/>
          <w:highlight w:val="none"/>
        </w:rPr>
        <w:t>（四）本年度存在的问题和原因</w:t>
      </w:r>
      <w:bookmarkEnd w:id="9"/>
      <w:bookmarkEnd w:id="10"/>
    </w:p>
    <w:p>
      <w:pPr>
        <w:spacing w:line="560" w:lineRule="exact"/>
        <w:ind w:firstLine="643" w:firstLineChars="200"/>
        <w:rPr>
          <w:rFonts w:hint="default" w:ascii="仿宋_GB2312" w:hAnsi="仿宋" w:eastAsia="仿宋_GB2312"/>
          <w:bCs/>
          <w:color w:val="auto"/>
          <w:sz w:val="32"/>
          <w:szCs w:val="32"/>
          <w:highlight w:val="none"/>
          <w:lang w:val="en-US" w:eastAsia="zh-CN"/>
        </w:rPr>
      </w:pPr>
      <w:bookmarkStart w:id="11" w:name="_Toc32260"/>
      <w:bookmarkStart w:id="12" w:name="_Toc2668"/>
      <w:r>
        <w:rPr>
          <w:rFonts w:hint="eastAsia" w:ascii="仿宋_GB2312" w:hAnsi="仿宋" w:eastAsia="仿宋_GB2312"/>
          <w:b/>
          <w:color w:val="auto"/>
          <w:sz w:val="32"/>
          <w:szCs w:val="32"/>
          <w:highlight w:val="none"/>
        </w:rPr>
        <w:t>1.项目</w:t>
      </w:r>
      <w:r>
        <w:rPr>
          <w:rFonts w:hint="eastAsia" w:ascii="仿宋_GB2312" w:hAnsi="仿宋" w:eastAsia="仿宋_GB2312"/>
          <w:b/>
          <w:color w:val="auto"/>
          <w:sz w:val="32"/>
          <w:szCs w:val="32"/>
          <w:highlight w:val="none"/>
          <w:lang w:val="en-US" w:eastAsia="zh-CN"/>
        </w:rPr>
        <w:t>档案资料收集管理不到位</w:t>
      </w:r>
      <w:r>
        <w:rPr>
          <w:rFonts w:hint="eastAsia" w:ascii="仿宋_GB2312" w:hAnsi="仿宋" w:eastAsia="仿宋_GB2312"/>
          <w:b/>
          <w:color w:val="auto"/>
          <w:sz w:val="32"/>
          <w:szCs w:val="32"/>
          <w:highlight w:val="none"/>
        </w:rPr>
        <w:t>。</w:t>
      </w:r>
      <w:r>
        <w:rPr>
          <w:rFonts w:hint="eastAsia" w:ascii="仿宋_GB2312" w:hAnsi="仿宋" w:eastAsia="仿宋_GB2312"/>
          <w:bCs/>
          <w:color w:val="auto"/>
          <w:sz w:val="32"/>
          <w:szCs w:val="32"/>
          <w:highlight w:val="none"/>
          <w:lang w:val="en-US" w:eastAsia="zh-CN"/>
        </w:rPr>
        <w:t>3个子项目的资料均较为零散，部分在财务，部分在应急部，部分作为凭证附件。</w:t>
      </w:r>
    </w:p>
    <w:p>
      <w:pPr>
        <w:pStyle w:val="35"/>
        <w:spacing w:line="560" w:lineRule="exact"/>
        <w:ind w:firstLine="643"/>
        <w:rPr>
          <w:rFonts w:hint="default" w:ascii="仿宋_GB2312" w:hAnsi="仿宋" w:eastAsia="仿宋_GB2312"/>
          <w:color w:val="auto"/>
          <w:sz w:val="32"/>
          <w:szCs w:val="32"/>
          <w:highlight w:val="none"/>
          <w:lang w:val="en-US" w:eastAsia="zh-CN"/>
        </w:rPr>
      </w:pPr>
      <w:r>
        <w:rPr>
          <w:rFonts w:hint="eastAsia" w:ascii="仿宋_GB2312" w:hAnsi="仿宋" w:eastAsia="仿宋_GB2312"/>
          <w:b/>
          <w:bCs/>
          <w:color w:val="auto"/>
          <w:sz w:val="32"/>
          <w:szCs w:val="32"/>
          <w:highlight w:val="none"/>
        </w:rPr>
        <w:t>2.</w:t>
      </w:r>
      <w:r>
        <w:rPr>
          <w:rFonts w:hint="eastAsia" w:ascii="仿宋_GB2312" w:hAnsi="仿宋" w:eastAsia="仿宋_GB2312"/>
          <w:b/>
          <w:bCs/>
          <w:color w:val="auto"/>
          <w:sz w:val="32"/>
          <w:szCs w:val="32"/>
          <w:highlight w:val="none"/>
          <w:lang w:val="en-US" w:eastAsia="zh-CN"/>
        </w:rPr>
        <w:t>资金分配额度不够合理</w:t>
      </w:r>
      <w:r>
        <w:rPr>
          <w:rFonts w:hint="eastAsia" w:ascii="仿宋_GB2312" w:hAnsi="仿宋" w:eastAsia="仿宋_GB2312"/>
          <w:b/>
          <w:bCs/>
          <w:color w:val="auto"/>
          <w:sz w:val="32"/>
          <w:szCs w:val="32"/>
          <w:highlight w:val="none"/>
          <w:lang w:eastAsia="zh-CN"/>
        </w:rPr>
        <w:t>，</w:t>
      </w:r>
      <w:r>
        <w:rPr>
          <w:rFonts w:hint="eastAsia" w:ascii="仿宋_GB2312" w:hAnsi="仿宋" w:eastAsia="仿宋_GB2312"/>
          <w:b/>
          <w:bCs/>
          <w:color w:val="auto"/>
          <w:sz w:val="32"/>
          <w:szCs w:val="32"/>
          <w:highlight w:val="none"/>
        </w:rPr>
        <w:t>预算确定的项目资金量与工作任务</w:t>
      </w:r>
      <w:r>
        <w:rPr>
          <w:rFonts w:hint="eastAsia" w:ascii="仿宋_GB2312" w:hAnsi="仿宋" w:eastAsia="仿宋_GB2312"/>
          <w:b/>
          <w:bCs/>
          <w:color w:val="auto"/>
          <w:sz w:val="32"/>
          <w:szCs w:val="32"/>
          <w:highlight w:val="none"/>
          <w:lang w:val="en-US" w:eastAsia="zh-CN"/>
        </w:rPr>
        <w:t>不一致</w:t>
      </w:r>
      <w:r>
        <w:rPr>
          <w:rFonts w:hint="eastAsia" w:ascii="仿宋_GB2312" w:hAnsi="仿宋" w:eastAsia="仿宋_GB2312"/>
          <w:b/>
          <w:bCs/>
          <w:color w:val="auto"/>
          <w:sz w:val="32"/>
          <w:szCs w:val="32"/>
          <w:highlight w:val="none"/>
        </w:rPr>
        <w:t>。</w:t>
      </w:r>
      <w:r>
        <w:rPr>
          <w:rFonts w:hint="eastAsia" w:ascii="仿宋_GB2312" w:hAnsi="仿宋" w:eastAsia="仿宋_GB2312"/>
          <w:color w:val="auto"/>
          <w:sz w:val="32"/>
          <w:szCs w:val="32"/>
          <w:highlight w:val="none"/>
          <w:lang w:val="en-US" w:eastAsia="zh-CN"/>
        </w:rPr>
        <w:t>项目预算金额45万元，但</w:t>
      </w:r>
      <w:r>
        <w:rPr>
          <w:rFonts w:hint="eastAsia" w:ascii="仿宋_GB2312" w:hAnsi="仿宋" w:eastAsia="仿宋_GB2312"/>
          <w:color w:val="auto"/>
          <w:sz w:val="32"/>
          <w:szCs w:val="32"/>
          <w:highlight w:val="none"/>
        </w:rPr>
        <w:t>经查阅报账资料，</w:t>
      </w:r>
      <w:r>
        <w:rPr>
          <w:rFonts w:hint="eastAsia" w:ascii="仿宋_GB2312" w:hAnsi="仿宋" w:eastAsia="仿宋_GB2312"/>
          <w:color w:val="auto"/>
          <w:sz w:val="32"/>
          <w:szCs w:val="32"/>
          <w:highlight w:val="none"/>
          <w:lang w:val="en-US" w:eastAsia="zh-CN"/>
        </w:rPr>
        <w:t>3个子项目合同金额合计54万元，其中，</w:t>
      </w:r>
      <w:r>
        <w:rPr>
          <w:rFonts w:hint="eastAsia" w:ascii="仿宋_GB2312" w:hAnsi="仿宋" w:eastAsia="仿宋_GB2312"/>
          <w:color w:val="auto"/>
          <w:sz w:val="32"/>
          <w:szCs w:val="32"/>
          <w:highlight w:val="none"/>
        </w:rPr>
        <w:t>环保管家服务费19万元，突发环境事件应急预案编制技术服务费15万元，通城经济开发区安全生产技术服务费20万元。</w:t>
      </w:r>
      <w:r>
        <w:rPr>
          <w:rFonts w:hint="eastAsia" w:ascii="仿宋_GB2312" w:hAnsi="仿宋" w:eastAsia="仿宋_GB2312"/>
          <w:color w:val="auto"/>
          <w:sz w:val="32"/>
          <w:szCs w:val="32"/>
          <w:highlight w:val="none"/>
          <w:lang w:val="en-US" w:eastAsia="zh-CN"/>
        </w:rPr>
        <w:t>项目的预算额度及资金分配，与实际工作任务需求不一致。</w:t>
      </w:r>
    </w:p>
    <w:p>
      <w:pPr>
        <w:spacing w:line="560" w:lineRule="exact"/>
        <w:ind w:firstLine="643" w:firstLineChars="200"/>
        <w:outlineLvl w:val="1"/>
        <w:rPr>
          <w:rFonts w:hint="eastAsia" w:ascii="仿宋_GB2312" w:hAnsi="仿宋" w:eastAsia="仿宋_GB2312"/>
          <w:color w:val="auto"/>
          <w:sz w:val="32"/>
          <w:szCs w:val="32"/>
          <w:highlight w:val="none"/>
          <w:lang w:val="en-US" w:eastAsia="zh-CN"/>
        </w:rPr>
      </w:pPr>
      <w:r>
        <w:rPr>
          <w:rFonts w:hint="eastAsia" w:ascii="仿宋_GB2312" w:hAnsi="仿宋" w:eastAsia="仿宋_GB2312"/>
          <w:b/>
          <w:bCs/>
          <w:color w:val="auto"/>
          <w:sz w:val="32"/>
          <w:szCs w:val="32"/>
          <w:highlight w:val="none"/>
        </w:rPr>
        <w:t>3.绩效管理</w:t>
      </w:r>
      <w:r>
        <w:rPr>
          <w:rFonts w:hint="eastAsia" w:ascii="仿宋_GB2312" w:hAnsi="仿宋" w:eastAsia="仿宋_GB2312"/>
          <w:b/>
          <w:bCs/>
          <w:color w:val="auto"/>
          <w:sz w:val="32"/>
          <w:szCs w:val="32"/>
          <w:highlight w:val="none"/>
          <w:lang w:val="en-US" w:eastAsia="zh-CN"/>
        </w:rPr>
        <w:t>不到位，没有依据申报的绩效目标开展绩效运行监控</w:t>
      </w:r>
      <w:r>
        <w:rPr>
          <w:rFonts w:hint="eastAsia" w:ascii="仿宋_GB2312" w:hAnsi="仿宋" w:eastAsia="仿宋_GB2312"/>
          <w:b/>
          <w:bCs/>
          <w:color w:val="auto"/>
          <w:sz w:val="32"/>
          <w:szCs w:val="32"/>
          <w:highlight w:val="none"/>
        </w:rPr>
        <w:t>。</w:t>
      </w:r>
      <w:r>
        <w:rPr>
          <w:rFonts w:hint="eastAsia" w:ascii="仿宋_GB2312" w:hAnsi="仿宋" w:eastAsia="仿宋_GB2312"/>
          <w:color w:val="auto"/>
          <w:sz w:val="32"/>
          <w:szCs w:val="32"/>
          <w:highlight w:val="none"/>
        </w:rPr>
        <w:t>项目按</w:t>
      </w:r>
      <w:r>
        <w:rPr>
          <w:rFonts w:hint="eastAsia" w:ascii="仿宋_GB2312" w:hAnsi="仿宋" w:eastAsia="仿宋_GB2312"/>
          <w:color w:val="auto"/>
          <w:sz w:val="32"/>
          <w:szCs w:val="32"/>
          <w:highlight w:val="none"/>
          <w:lang w:val="en-US" w:eastAsia="zh-CN"/>
        </w:rPr>
        <w:t>要求</w:t>
      </w:r>
      <w:r>
        <w:rPr>
          <w:rFonts w:hint="eastAsia" w:ascii="仿宋_GB2312" w:hAnsi="仿宋" w:eastAsia="仿宋_GB2312"/>
          <w:color w:val="auto"/>
          <w:sz w:val="32"/>
          <w:szCs w:val="32"/>
          <w:highlight w:val="none"/>
        </w:rPr>
        <w:t>执行了绩效目标申报、监控及自评</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但监控表中</w:t>
      </w:r>
      <w:r>
        <w:rPr>
          <w:rFonts w:hint="eastAsia" w:ascii="仿宋_GB2312" w:hAnsi="仿宋" w:eastAsia="仿宋_GB2312"/>
          <w:color w:val="auto"/>
          <w:sz w:val="32"/>
          <w:szCs w:val="32"/>
          <w:highlight w:val="none"/>
          <w:lang w:val="en-US" w:eastAsia="zh-CN"/>
        </w:rPr>
        <w:t>的</w:t>
      </w:r>
      <w:r>
        <w:rPr>
          <w:rFonts w:hint="eastAsia" w:ascii="仿宋_GB2312" w:hAnsi="仿宋" w:eastAsia="仿宋_GB2312"/>
          <w:color w:val="auto"/>
          <w:sz w:val="32"/>
          <w:szCs w:val="32"/>
          <w:highlight w:val="none"/>
        </w:rPr>
        <w:t>产出指标</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与申报表</w:t>
      </w:r>
      <w:r>
        <w:rPr>
          <w:rFonts w:hint="eastAsia" w:ascii="仿宋_GB2312" w:hAnsi="仿宋" w:eastAsia="仿宋_GB2312"/>
          <w:color w:val="auto"/>
          <w:sz w:val="32"/>
          <w:szCs w:val="32"/>
          <w:highlight w:val="none"/>
          <w:lang w:val="en-US" w:eastAsia="zh-CN"/>
        </w:rPr>
        <w:t>不相符</w:t>
      </w:r>
      <w:r>
        <w:rPr>
          <w:rFonts w:hint="eastAsia" w:ascii="仿宋_GB2312" w:hAnsi="仿宋" w:eastAsia="仿宋_GB2312"/>
          <w:color w:val="auto"/>
          <w:sz w:val="32"/>
          <w:szCs w:val="32"/>
          <w:highlight w:val="none"/>
        </w:rPr>
        <w:t>。</w:t>
      </w:r>
      <w:r>
        <w:rPr>
          <w:rFonts w:hint="eastAsia" w:ascii="仿宋_GB2312" w:hAnsi="仿宋" w:eastAsia="仿宋_GB2312"/>
          <w:color w:val="auto"/>
          <w:sz w:val="32"/>
          <w:szCs w:val="32"/>
          <w:highlight w:val="none"/>
          <w:lang w:val="en-US" w:eastAsia="zh-CN"/>
        </w:rPr>
        <w:t>该项目绩效目标申报表中，产出指标设置为：“数量指标-服务企业数量54家”、“质量指标-服务达标率90%以上”、“时效指标-服务及时率90%以上”、“成本指标-预算控制在45万”；而绩效运行监控表中，产出指标设置为：“投产项目达标率100%”、“推进项目及时性90%以上”。</w:t>
      </w:r>
    </w:p>
    <w:p>
      <w:pPr>
        <w:spacing w:line="560" w:lineRule="exact"/>
        <w:ind w:firstLine="643" w:firstLineChars="200"/>
        <w:outlineLvl w:val="1"/>
        <w:rPr>
          <w:rFonts w:ascii="仿宋_GB2312" w:hAnsi="楷体" w:eastAsia="仿宋_GB2312" w:cs="宋体"/>
          <w:b/>
          <w:color w:val="auto"/>
          <w:sz w:val="32"/>
          <w:szCs w:val="32"/>
          <w:highlight w:val="none"/>
        </w:rPr>
      </w:pPr>
      <w:r>
        <w:rPr>
          <w:rFonts w:hint="eastAsia" w:ascii="楷体_GB2312" w:hAnsi="楷体_GB2312" w:eastAsia="楷体_GB2312" w:cs="楷体_GB2312"/>
          <w:b/>
          <w:bCs/>
          <w:color w:val="auto"/>
          <w:kern w:val="0"/>
          <w:sz w:val="32"/>
          <w:szCs w:val="32"/>
          <w:highlight w:val="none"/>
        </w:rPr>
        <w:t>（五）建议</w:t>
      </w:r>
      <w:bookmarkEnd w:id="11"/>
      <w:bookmarkEnd w:id="12"/>
    </w:p>
    <w:p>
      <w:pPr>
        <w:spacing w:line="560" w:lineRule="exact"/>
        <w:ind w:firstLine="643" w:firstLineChars="200"/>
        <w:rPr>
          <w:rFonts w:ascii="仿宋_GB2312" w:hAnsi="仿宋" w:eastAsia="仿宋_GB2312"/>
          <w:bCs/>
          <w:color w:val="auto"/>
          <w:sz w:val="32"/>
          <w:szCs w:val="32"/>
          <w:highlight w:val="none"/>
        </w:rPr>
      </w:pPr>
      <w:bookmarkStart w:id="13" w:name="_Toc4871"/>
      <w:r>
        <w:rPr>
          <w:rFonts w:hint="eastAsia" w:ascii="仿宋_GB2312" w:hAnsi="仿宋" w:eastAsia="仿宋_GB2312"/>
          <w:b/>
          <w:color w:val="auto"/>
          <w:sz w:val="32"/>
          <w:szCs w:val="32"/>
          <w:highlight w:val="none"/>
        </w:rPr>
        <w:t>1.加强项目档案资料管理。</w:t>
      </w:r>
      <w:r>
        <w:rPr>
          <w:rFonts w:hint="eastAsia" w:ascii="仿宋_GB2312" w:hAnsi="仿宋" w:eastAsia="仿宋_GB2312"/>
          <w:bCs/>
          <w:color w:val="auto"/>
          <w:sz w:val="32"/>
          <w:szCs w:val="32"/>
          <w:highlight w:val="none"/>
        </w:rPr>
        <w:t>项目档案资料是记录项目实施的轨迹，是项目验收的基础，必须高度重视项目档案资料管理。建议对项目档案资料收集要前移，须与项目进程同步，确保项目实施档案齐全完整，整理规范，真正反映项目实施工作的全过程，为项目验收工作打下坚实基础。</w:t>
      </w:r>
    </w:p>
    <w:p>
      <w:pPr>
        <w:spacing w:line="560" w:lineRule="exact"/>
        <w:ind w:firstLine="643" w:firstLineChars="200"/>
        <w:rPr>
          <w:rFonts w:hint="default" w:ascii="仿宋_GB2312" w:hAnsi="仿宋" w:eastAsia="仿宋_GB2312"/>
          <w:color w:val="auto"/>
          <w:sz w:val="32"/>
          <w:szCs w:val="32"/>
          <w:highlight w:val="none"/>
          <w:lang w:val="en-US" w:eastAsia="zh-CN"/>
        </w:rPr>
      </w:pPr>
      <w:r>
        <w:rPr>
          <w:rFonts w:hint="eastAsia" w:ascii="仿宋_GB2312" w:hAnsi="仿宋" w:eastAsia="仿宋_GB2312"/>
          <w:b/>
          <w:bCs/>
          <w:color w:val="auto"/>
          <w:sz w:val="32"/>
          <w:szCs w:val="32"/>
          <w:highlight w:val="none"/>
        </w:rPr>
        <w:t>2.</w:t>
      </w:r>
      <w:r>
        <w:rPr>
          <w:rFonts w:hint="eastAsia" w:ascii="仿宋_GB2312" w:hAnsi="仿宋" w:eastAsia="仿宋_GB2312"/>
          <w:b/>
          <w:bCs/>
          <w:color w:val="auto"/>
          <w:sz w:val="32"/>
          <w:szCs w:val="32"/>
          <w:highlight w:val="none"/>
          <w:lang w:val="en-US" w:eastAsia="zh-CN"/>
        </w:rPr>
        <w:t>合理分配资金额度，确保预算资金量与工作任务相一致</w:t>
      </w:r>
      <w:r>
        <w:rPr>
          <w:rFonts w:hint="eastAsia" w:ascii="仿宋_GB2312" w:hAnsi="仿宋" w:eastAsia="仿宋_GB2312"/>
          <w:b/>
          <w:bCs/>
          <w:color w:val="auto"/>
          <w:sz w:val="32"/>
          <w:szCs w:val="32"/>
          <w:highlight w:val="none"/>
        </w:rPr>
        <w:t>。</w:t>
      </w:r>
      <w:r>
        <w:rPr>
          <w:rFonts w:hint="eastAsia" w:ascii="仿宋_GB2312" w:hAnsi="仿宋" w:eastAsia="仿宋_GB2312"/>
          <w:color w:val="auto"/>
          <w:sz w:val="32"/>
          <w:szCs w:val="32"/>
          <w:highlight w:val="none"/>
          <w:lang w:val="en-US" w:eastAsia="zh-CN"/>
        </w:rPr>
        <w:t>预算编制须经过科学论证，资金量应与工作任务相匹配，确保项目的实施推进不会因为资金不足而受阻，为项目顺利完成提供资金保障基础。</w:t>
      </w:r>
    </w:p>
    <w:p>
      <w:pPr>
        <w:pStyle w:val="35"/>
        <w:spacing w:line="560" w:lineRule="exact"/>
        <w:ind w:firstLine="643"/>
        <w:rPr>
          <w:rFonts w:hint="eastAsia" w:ascii="仿宋_GB2312" w:hAnsi="仿宋" w:eastAsia="仿宋_GB2312"/>
          <w:color w:val="auto"/>
          <w:sz w:val="32"/>
          <w:szCs w:val="32"/>
          <w:highlight w:val="none"/>
        </w:rPr>
      </w:pPr>
      <w:r>
        <w:rPr>
          <w:rFonts w:hint="eastAsia" w:ascii="仿宋_GB2312" w:hAnsi="仿宋" w:eastAsia="仿宋_GB2312"/>
          <w:b/>
          <w:bCs/>
          <w:color w:val="auto"/>
          <w:sz w:val="32"/>
          <w:szCs w:val="32"/>
          <w:highlight w:val="none"/>
        </w:rPr>
        <w:t>3.</w:t>
      </w:r>
      <w:r>
        <w:rPr>
          <w:rFonts w:hint="eastAsia" w:ascii="仿宋_GB2312" w:hAnsi="仿宋" w:eastAsia="仿宋_GB2312"/>
          <w:b/>
          <w:bCs/>
          <w:color w:val="auto"/>
          <w:sz w:val="32"/>
          <w:szCs w:val="32"/>
          <w:highlight w:val="none"/>
          <w:lang w:val="en-US" w:eastAsia="zh-CN"/>
        </w:rPr>
        <w:t>全面施行</w:t>
      </w:r>
      <w:r>
        <w:rPr>
          <w:rFonts w:hint="eastAsia" w:ascii="仿宋_GB2312" w:hAnsi="仿宋" w:eastAsia="仿宋_GB2312"/>
          <w:b/>
          <w:bCs/>
          <w:color w:val="auto"/>
          <w:sz w:val="32"/>
          <w:szCs w:val="32"/>
          <w:highlight w:val="none"/>
        </w:rPr>
        <w:t>预算绩效管理。</w:t>
      </w:r>
      <w:r>
        <w:rPr>
          <w:rFonts w:hint="eastAsia" w:ascii="仿宋_GB2312" w:hAnsi="仿宋" w:eastAsia="仿宋_GB2312"/>
          <w:color w:val="auto"/>
          <w:sz w:val="32"/>
          <w:szCs w:val="32"/>
          <w:highlight w:val="none"/>
        </w:rPr>
        <w:t>一是财政部门加强绩效管理业务工作培训，增强绩效管理意识，提升管理人员的业务水平。二是健全绩效目标管理机制，财政部门把好审核关口，强化绩效指标的导向作用，不能流于形式。三是规范开展绩效目标管理工作，严格按照财政资金项目绩效目标管理要求，开展项目绩效目标的申报、审核，运行监控和自评工作，切实提高财政资金的使用效率。</w:t>
      </w:r>
    </w:p>
    <w:p>
      <w:pPr>
        <w:pStyle w:val="35"/>
        <w:spacing w:line="560" w:lineRule="exact"/>
        <w:ind w:firstLine="643"/>
        <w:rPr>
          <w:rFonts w:hint="eastAsia" w:ascii="仿宋_GB2312" w:hAnsi="仿宋" w:eastAsia="仿宋_GB2312"/>
          <w:color w:val="auto"/>
          <w:sz w:val="32"/>
          <w:szCs w:val="32"/>
          <w:highlight w:val="none"/>
        </w:rPr>
      </w:pPr>
    </w:p>
    <w:p>
      <w:pPr>
        <w:pStyle w:val="35"/>
        <w:spacing w:line="560" w:lineRule="exact"/>
        <w:ind w:firstLine="643"/>
        <w:rPr>
          <w:rFonts w:hint="eastAsia" w:ascii="仿宋_GB2312" w:hAnsi="仿宋" w:eastAsia="仿宋_GB2312"/>
          <w:color w:val="auto"/>
          <w:sz w:val="32"/>
          <w:szCs w:val="32"/>
          <w:highlight w:val="none"/>
        </w:rPr>
      </w:pPr>
    </w:p>
    <w:p>
      <w:pPr>
        <w:pStyle w:val="35"/>
        <w:spacing w:line="560" w:lineRule="exact"/>
        <w:ind w:firstLine="643"/>
        <w:rPr>
          <w:rFonts w:hint="eastAsia" w:ascii="仿宋_GB2312" w:hAnsi="仿宋" w:eastAsia="仿宋_GB2312"/>
          <w:color w:val="auto"/>
          <w:sz w:val="32"/>
          <w:szCs w:val="32"/>
          <w:highlight w:val="none"/>
        </w:rPr>
      </w:pPr>
    </w:p>
    <w:p>
      <w:pPr>
        <w:spacing w:line="460" w:lineRule="exact"/>
        <w:rPr>
          <w:rFonts w:ascii="华文中宋" w:hAnsi="华文中宋" w:eastAsia="华文中宋" w:cs="楷体"/>
          <w:bCs/>
          <w:color w:val="auto"/>
          <w:sz w:val="32"/>
          <w:szCs w:val="32"/>
          <w:highlight w:val="none"/>
        </w:rPr>
      </w:pPr>
    </w:p>
    <w:p>
      <w:pPr>
        <w:spacing w:line="460" w:lineRule="exact"/>
        <w:ind w:firstLine="640" w:firstLineChars="200"/>
        <w:rPr>
          <w:rFonts w:ascii="华文中宋" w:hAnsi="华文中宋" w:eastAsia="华文中宋" w:cs="楷体"/>
          <w:bCs/>
          <w:color w:val="auto"/>
          <w:sz w:val="32"/>
          <w:szCs w:val="32"/>
          <w:highlight w:val="none"/>
        </w:rPr>
      </w:pPr>
      <w:r>
        <w:rPr>
          <w:rFonts w:hint="eastAsia" w:ascii="华文中宋" w:hAnsi="华文中宋" w:eastAsia="华文中宋" w:cs="楷体"/>
          <w:bCs/>
          <w:color w:val="auto"/>
          <w:sz w:val="32"/>
          <w:szCs w:val="32"/>
          <w:highlight w:val="none"/>
        </w:rPr>
        <w:t xml:space="preserve">湖北恒信会计师事务有限公司     </w:t>
      </w:r>
      <w:r>
        <w:rPr>
          <w:rFonts w:ascii="华文中宋" w:hAnsi="华文中宋" w:eastAsia="华文中宋" w:cs="楷体"/>
          <w:bCs/>
          <w:color w:val="auto"/>
          <w:sz w:val="32"/>
          <w:szCs w:val="32"/>
          <w:highlight w:val="none"/>
        </w:rPr>
        <w:t xml:space="preserve"> </w:t>
      </w:r>
      <w:r>
        <w:rPr>
          <w:rFonts w:hint="eastAsia" w:ascii="华文中宋" w:hAnsi="华文中宋" w:eastAsia="华文中宋" w:cs="楷体"/>
          <w:bCs/>
          <w:color w:val="auto"/>
          <w:sz w:val="32"/>
          <w:szCs w:val="32"/>
          <w:highlight w:val="none"/>
        </w:rPr>
        <w:t>主评人：</w:t>
      </w:r>
    </w:p>
    <w:p>
      <w:pPr>
        <w:spacing w:line="460" w:lineRule="exact"/>
        <w:rPr>
          <w:rFonts w:ascii="华文中宋" w:hAnsi="华文中宋" w:eastAsia="华文中宋" w:cs="楷体"/>
          <w:bCs/>
          <w:color w:val="auto"/>
          <w:sz w:val="32"/>
          <w:szCs w:val="32"/>
          <w:highlight w:val="none"/>
        </w:rPr>
      </w:pPr>
    </w:p>
    <w:p>
      <w:pPr>
        <w:spacing w:line="540" w:lineRule="exact"/>
        <w:ind w:firstLine="1920" w:firstLineChars="600"/>
        <w:rPr>
          <w:rFonts w:ascii="华文中宋" w:hAnsi="华文中宋" w:eastAsia="华文中宋" w:cs="楷体"/>
          <w:bCs/>
          <w:color w:val="auto"/>
          <w:sz w:val="32"/>
          <w:szCs w:val="32"/>
          <w:highlight w:val="none"/>
        </w:rPr>
      </w:pPr>
      <w:r>
        <w:rPr>
          <w:rFonts w:hint="eastAsia" w:ascii="华文中宋" w:hAnsi="华文中宋" w:eastAsia="华文中宋" w:cs="楷体"/>
          <w:bCs/>
          <w:color w:val="auto"/>
          <w:sz w:val="32"/>
          <w:szCs w:val="32"/>
          <w:highlight w:val="none"/>
        </w:rPr>
        <w:t xml:space="preserve">中国·武汉            </w:t>
      </w:r>
      <w:r>
        <w:rPr>
          <w:rFonts w:ascii="华文中宋" w:hAnsi="华文中宋" w:eastAsia="华文中宋" w:cs="楷体"/>
          <w:bCs/>
          <w:color w:val="auto"/>
          <w:sz w:val="32"/>
          <w:szCs w:val="32"/>
          <w:highlight w:val="none"/>
        </w:rPr>
        <w:t xml:space="preserve"> </w:t>
      </w:r>
      <w:r>
        <w:rPr>
          <w:rFonts w:hint="eastAsia" w:ascii="华文中宋" w:hAnsi="华文中宋" w:eastAsia="华文中宋" w:cs="楷体"/>
          <w:bCs/>
          <w:color w:val="auto"/>
          <w:sz w:val="32"/>
          <w:szCs w:val="32"/>
          <w:highlight w:val="none"/>
        </w:rPr>
        <w:t xml:space="preserve"> 主评人：</w:t>
      </w:r>
    </w:p>
    <w:p>
      <w:pPr>
        <w:spacing w:line="540" w:lineRule="exact"/>
        <w:rPr>
          <w:rFonts w:ascii="华文中宋" w:hAnsi="华文中宋" w:eastAsia="华文中宋" w:cs="楷体"/>
          <w:bCs/>
          <w:color w:val="auto"/>
          <w:sz w:val="32"/>
          <w:szCs w:val="32"/>
          <w:highlight w:val="none"/>
        </w:rPr>
      </w:pPr>
    </w:p>
    <w:p>
      <w:pPr>
        <w:spacing w:line="540" w:lineRule="exact"/>
        <w:rPr>
          <w:rFonts w:ascii="华文中宋" w:hAnsi="华文中宋" w:eastAsia="华文中宋" w:cs="楷体"/>
          <w:bCs/>
          <w:color w:val="auto"/>
          <w:sz w:val="32"/>
          <w:szCs w:val="32"/>
          <w:highlight w:val="none"/>
        </w:rPr>
      </w:pPr>
      <w:r>
        <w:rPr>
          <w:rFonts w:hint="eastAsia" w:ascii="华文中宋" w:hAnsi="华文中宋" w:eastAsia="华文中宋" w:cs="楷体"/>
          <w:bCs/>
          <w:color w:val="auto"/>
          <w:sz w:val="32"/>
          <w:szCs w:val="32"/>
          <w:highlight w:val="none"/>
        </w:rPr>
        <w:t xml:space="preserve">                             </w:t>
      </w:r>
      <w:r>
        <w:rPr>
          <w:rFonts w:ascii="华文中宋" w:hAnsi="华文中宋" w:eastAsia="华文中宋" w:cs="楷体"/>
          <w:bCs/>
          <w:color w:val="auto"/>
          <w:sz w:val="32"/>
          <w:szCs w:val="32"/>
          <w:highlight w:val="none"/>
        </w:rPr>
        <w:t xml:space="preserve">  </w:t>
      </w:r>
      <w:r>
        <w:rPr>
          <w:rFonts w:hint="eastAsia" w:ascii="华文中宋" w:hAnsi="华文中宋" w:eastAsia="华文中宋" w:cs="楷体"/>
          <w:bCs/>
          <w:color w:val="auto"/>
          <w:sz w:val="32"/>
          <w:szCs w:val="32"/>
          <w:highlight w:val="none"/>
        </w:rPr>
        <w:t xml:space="preserve"> 20</w:t>
      </w:r>
      <w:r>
        <w:rPr>
          <w:rFonts w:ascii="华文中宋" w:hAnsi="华文中宋" w:eastAsia="华文中宋" w:cs="楷体"/>
          <w:bCs/>
          <w:color w:val="auto"/>
          <w:sz w:val="32"/>
          <w:szCs w:val="32"/>
          <w:highlight w:val="none"/>
        </w:rPr>
        <w:t>23</w:t>
      </w:r>
      <w:r>
        <w:rPr>
          <w:rFonts w:hint="eastAsia" w:ascii="华文中宋" w:hAnsi="华文中宋" w:eastAsia="华文中宋" w:cs="楷体"/>
          <w:bCs/>
          <w:color w:val="auto"/>
          <w:sz w:val="32"/>
          <w:szCs w:val="32"/>
          <w:highlight w:val="none"/>
        </w:rPr>
        <w:t>年</w:t>
      </w:r>
      <w:r>
        <w:rPr>
          <w:rFonts w:hint="eastAsia" w:ascii="华文中宋" w:hAnsi="华文中宋" w:eastAsia="华文中宋" w:cs="楷体"/>
          <w:bCs/>
          <w:color w:val="auto"/>
          <w:sz w:val="32"/>
          <w:szCs w:val="32"/>
          <w:highlight w:val="none"/>
          <w:lang w:val="en-US" w:eastAsia="zh-CN"/>
        </w:rPr>
        <w:t>9</w:t>
      </w:r>
      <w:r>
        <w:rPr>
          <w:rFonts w:hint="eastAsia" w:ascii="华文中宋" w:hAnsi="华文中宋" w:eastAsia="华文中宋" w:cs="楷体"/>
          <w:bCs/>
          <w:color w:val="auto"/>
          <w:sz w:val="32"/>
          <w:szCs w:val="32"/>
          <w:highlight w:val="none"/>
        </w:rPr>
        <w:t>月</w:t>
      </w:r>
      <w:r>
        <w:rPr>
          <w:rFonts w:hint="eastAsia" w:ascii="华文中宋" w:hAnsi="华文中宋" w:eastAsia="华文中宋" w:cs="楷体"/>
          <w:bCs/>
          <w:color w:val="auto"/>
          <w:sz w:val="32"/>
          <w:szCs w:val="32"/>
          <w:highlight w:val="none"/>
          <w:lang w:val="en-US" w:eastAsia="zh-CN"/>
        </w:rPr>
        <w:t>20</w:t>
      </w:r>
      <w:r>
        <w:rPr>
          <w:rFonts w:hint="eastAsia" w:ascii="华文中宋" w:hAnsi="华文中宋" w:eastAsia="华文中宋" w:cs="楷体"/>
          <w:bCs/>
          <w:color w:val="auto"/>
          <w:sz w:val="32"/>
          <w:szCs w:val="32"/>
          <w:highlight w:val="none"/>
        </w:rPr>
        <w:t>日</w:t>
      </w:r>
    </w:p>
    <w:p>
      <w:pPr>
        <w:spacing w:line="540" w:lineRule="exact"/>
        <w:rPr>
          <w:rFonts w:ascii="华文中宋" w:hAnsi="华文中宋" w:eastAsia="华文中宋" w:cs="楷体"/>
          <w:bCs/>
          <w:color w:val="auto"/>
          <w:sz w:val="32"/>
          <w:szCs w:val="32"/>
          <w:highlight w:val="none"/>
        </w:rPr>
        <w:sectPr>
          <w:footerReference r:id="rId9" w:type="default"/>
          <w:pgSz w:w="11906" w:h="16838"/>
          <w:pgMar w:top="2098" w:right="1474" w:bottom="1985" w:left="1588" w:header="851" w:footer="992" w:gutter="0"/>
          <w:pgNumType w:start="1"/>
          <w:cols w:space="720" w:num="1"/>
          <w:docGrid w:type="lines" w:linePitch="312" w:charSpace="0"/>
        </w:sectPr>
      </w:pP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6"/>
        <w:gridCol w:w="630"/>
        <w:gridCol w:w="754"/>
        <w:gridCol w:w="2011"/>
        <w:gridCol w:w="4721"/>
        <w:gridCol w:w="1016"/>
        <w:gridCol w:w="900"/>
        <w:gridCol w:w="2592"/>
        <w:gridCol w:w="9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4" w:hRule="atLeast"/>
        </w:trPr>
        <w:tc>
          <w:tcPr>
            <w:tcW w:w="5000" w:type="pct"/>
            <w:gridSpan w:val="9"/>
            <w:tcBorders>
              <w:top w:val="nil"/>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通城经济开发区2022年度项目服务经费项目绩效评价指标得分表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2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一级指标</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二级指标</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三级指标</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指标解释</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指标说明</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目标值</w:t>
            </w:r>
          </w:p>
        </w:tc>
        <w:tc>
          <w:tcPr>
            <w:tcW w:w="32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标准分值</w:t>
            </w:r>
          </w:p>
        </w:tc>
        <w:tc>
          <w:tcPr>
            <w:tcW w:w="9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评分标准</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评价得分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2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决策（17分）</w:t>
            </w: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项目立项（6分）</w:t>
            </w: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立项依据充分性</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项目立项是否符合法律法规、相关政策、发展规划以及部门职责，用以反映和考核项目立项依据情况。</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评价要点：</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依据充分</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项目立项申报均符合各评价要点要求得3分；有一项不合要求扣1分，扣完为止。</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①项目立项是否符合国家法律法规、国民经济发展规划和相关政策；</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②项目立项是否符合行业发展规划和政策要求；</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③项目立项是否与部门职责范围相符，属于部门履职所需；</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④项目是否属于公共财政支持范围，是否符合中央、地方事权支出责任划分原则；</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⑤项目是否与相关部门同类项目或部门内部相关项目重复。</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立项程序规范性</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项目申请、设立过程是否符合相关要求，用以反映和考核项目立项的规范情况。</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评价要点：</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规范</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项目立项申报均符合各评价要点要求得3分；有一项不合要求扣1分，扣完为止。</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①项目是否按照规定的程序申请设立；</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②审批文件、材料是否符合相关要求；</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③事前是否已经过必要的可行性研究、专家论证、风险评估、绩效评估、集体决策。</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绩效目标（6分）</w:t>
            </w: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绩效目标合理性</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项目所设定的绩效目标是否依据充分，是否符合客观实际，用以反映和考核项目绩效目标与项目实施的相符情况。</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评价要点：</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合理</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项目立项绩效目标申报均符合各评价要点要求得3分；有一项不合要求扣1分，扣完为止。</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6"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（如未设定预算绩效目标，也可考核其他工作任务目标）</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①项目是否有绩效目标；</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②项目绩效目标与实际工作内容是否具有相关性；</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③项目预期产出效益和效果是否符合正常的业绩水平；</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④是否与预算确定的项目投资额或资金量相匹配。</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绩效指标明确性</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依据绩效目标设定的绩效指标是否清晰、细化、可衡量等，用以反映和考核项目绩效目标的明细化情况。</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评价要点：</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明确</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项目立项绩效目标申报均符合各评价要点要求得3分；有一项不合要求扣1分，扣完为止。</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①是否将项目绩效目标细化分解为具体的绩效指标；</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②是否通过清晰、可衡量的指标值予以体现；</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③是否与项目目标任务数或计划数相对应。</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资金投入（5分）</w:t>
            </w: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预算编制科学性</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项目预算编制是否经过科学论证、有明确标准，资金额度与年度目标是否相适应，用以反映和考核项目预算编制的科学性、合理性情况。</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评价要点：</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科学</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项目资金使用单位资金安排均符合各评价要点要求得3分；有一项不合要求扣1分，扣完为止。</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①预算编制是否经过科学论证；</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②预算内容与项目内容是否匹配；</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③预算额度测算依据是否充分，是否按照标准编制；</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8"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④预算确定的项目投资额或资金量是否与工作任务相匹配。</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资金分配合理性</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项目预算资金分配是否有测算依据，与单位或地方实际是否相适应，用以反映和考核项目预算资金分配的科学性、合理性情况。</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评价要点：</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合理</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各项要点均符号要求的得2分；有一项存在不符合要求的扣1分，扣完为止。</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①预算资金分配依据是否充分；</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②资金分配额度是否合理，与项目单位或地方实际是否相适应。</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 w:hRule="atLeast"/>
        </w:trPr>
        <w:tc>
          <w:tcPr>
            <w:tcW w:w="2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过程（22分）</w:t>
            </w: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资金管理（13分）</w:t>
            </w: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资金到位率</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实际到位资金与预算资金的比率，用以反映和考核资金落实情况对项目实施的总体保障程度。</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编制服务费资金到位率=（实际到位资金/预算资金）×100%。</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按实际到位资金执行比例计算得分。</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实际到位资金：一定时期（本年度或项目期）内落实到具体项目的资金。</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预算资金：一定时期（本年度或项目期）内预算安排到具体项目的资金。</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预算执行率</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项目预算资金是否按照计划执行，用以反映或考核项目预算执行情况。</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资金预算执行率=（实际支出资金/实际到位资金）×100%。</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按项目预算实际执行比例计算得分。</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2"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实际支出资金：一定时期（本年度或项目期）内项目实际拨付的资金。</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1"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资金使用合规性</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项目资金使用是否符合相关的财务管理制度规定，用以反映和考核项目资金的规范运行情况。</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评价要点：</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合规</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资金使用符合各评评价要点要求得6分，①-③有一项不符合要求扣2分，存在截留、挤占、挪用、虚列支出等情况该项目指标扣掉3分。</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①是否符合国家财经法规和财务管理制度以及有关专项资金管理办法的规定；</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②资金的拨付是否有完整的审批程序和手续；</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③是否符合项目预算批复或合同规定的用途；</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④是否存在截留、挤占、挪用、虚列支出等情况。</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组织实施（9分）</w:t>
            </w: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管理制度健全性</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项目实施单位的财务和业务管理制度是否健全，用以反映和考核财务和业务管理制度对项目顺利实施的保障情况。</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评价要点：</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健全</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项目资金使用单位制度管理均符合各评价要点要求得3分；有一项不合要求扣1分，扣完为止。</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8"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①是否已制定或具有相应的财务和业务管理制度；</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②财务和业务管理制度是否合法、合规、完整。</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制度执行有效性</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项目实施是否符合相关管理规定，用以反映和考核相关管理制度的有效执行情况。</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评价要点：</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有效</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项目资金使用单位制度管理执行均符合各评价要点要求得6分；每有一项不符合要求的扣1.5分，扣完为止。</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①是否遵守相关法律法规和相关管理规定；</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②项目调整及支出调整手续是否完备；</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③项目政府采购、合同书、验收报告、技术鉴定等资料是否齐全并及时归档；</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4"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④项目绩效目标管理是否执行申报、审批、监控和自评。</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8" w:hRule="atLeast"/>
        </w:trPr>
        <w:tc>
          <w:tcPr>
            <w:tcW w:w="2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产出（36分）</w:t>
            </w: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产出数量（15分）</w:t>
            </w: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实际完成率</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项目实施的实际产出数与计划产出数的比率，用以反映和考核项目产出数量目标的实现程度。</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项目实际完成率=（实际产出数/计划产出数）×100%。</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按项目实际完成子项目比率得分。</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auto"/>
                <w:sz w:val="20"/>
                <w:szCs w:val="20"/>
                <w:highlight w:val="none"/>
                <w:u w:val="none"/>
                <w:lang w:val="en-US"/>
              </w:rPr>
            </w:pPr>
            <w:r>
              <w:rPr>
                <w:rFonts w:hint="eastAsia" w:ascii="宋体" w:hAnsi="宋体" w:eastAsia="宋体" w:cs="宋体"/>
                <w:i w:val="0"/>
                <w:iCs w:val="0"/>
                <w:color w:val="auto"/>
                <w:kern w:val="0"/>
                <w:sz w:val="20"/>
                <w:szCs w:val="20"/>
                <w:highlight w:val="none"/>
                <w:u w:val="none"/>
                <w:lang w:val="en-US" w:eastAsia="zh-CN" w:bidi="ar"/>
              </w:rPr>
              <w:t>1</w:t>
            </w:r>
            <w:r>
              <w:rPr>
                <w:rFonts w:hint="eastAsia" w:ascii="宋体" w:hAnsi="宋体" w:cs="宋体"/>
                <w:i w:val="0"/>
                <w:iCs w:val="0"/>
                <w:color w:val="auto"/>
                <w:kern w:val="0"/>
                <w:sz w:val="20"/>
                <w:szCs w:val="20"/>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8"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实际产出数：一定时期（本年度或项目期）内项目实际产出的产品或提供的服务数量。</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8"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计划产出数：项目绩效目标确定的在一定时期（本年度或项目期）内计划产出的产品或提供的服务数量。</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4"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产出质量（7分）</w:t>
            </w: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质量达标率</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项目完成的质量达标产出数与实际产出数的比率，用以反映和考核项目产出质量目标的实现程度。</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项目质量达标率=（质量达标产出数/实际产出数）×100%。</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按子项目完工验收合格数比率得分</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kern w:val="0"/>
                <w:sz w:val="20"/>
                <w:szCs w:val="20"/>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4"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质量达标产出数：一定时期（本年度或项目期）内实际达到既定质量标准的产品或服务数量。（按计划标准）</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2"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产出时效（7分）</w:t>
            </w: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完成及时性</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项目实际完成时间与计划完成时间的比较，用以反映和考核项目产出时效目标的实现程度。</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项目完成及时率%（各子项目在计划时间内完成）</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及时</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按各子项目计划时间（2022年度内）完成个数比例计算得分</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kern w:val="0"/>
                <w:sz w:val="20"/>
                <w:szCs w:val="20"/>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2"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实际完成时间：项目实施单位完成该项目实际所耗用的时间。</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2"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计划完成时间：按照项目实施计划或相关规定完成该项目所需的时间。</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2"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产出成本（7分）</w:t>
            </w:r>
          </w:p>
        </w:tc>
        <w:tc>
          <w:tcPr>
            <w:tcW w:w="2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成本节约率</w:t>
            </w:r>
          </w:p>
        </w:tc>
        <w:tc>
          <w:tcPr>
            <w:tcW w:w="7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完成项目计划工作目标的实际节约成本与计划成本的比率，用以反映和考核项目的成本节约程度。</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项目成本节约率=[（计划成本-实际成本）/计划成本]×100%。</w:t>
            </w:r>
          </w:p>
        </w:tc>
        <w:tc>
          <w:tcPr>
            <w:tcW w:w="30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327"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92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项目实际投入成本与计划成本比，节约率：≧0时得满分，否则不得分；资金未执行完成按应支付投入成本考核得分</w:t>
            </w:r>
          </w:p>
        </w:tc>
        <w:tc>
          <w:tcPr>
            <w:tcW w:w="33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2"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实际成本：项目实施单位如期、保质、保量完成既定工作目标实际所耗费的支出。</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2"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计划成本：项目实施单位为完成工作目标计划安排的支出，一般以项目预算为参考。</w:t>
            </w:r>
          </w:p>
        </w:tc>
        <w:tc>
          <w:tcPr>
            <w:tcW w:w="30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32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auto"/>
                <w:sz w:val="20"/>
                <w:szCs w:val="20"/>
                <w:highlight w:val="none"/>
                <w:u w:val="none"/>
              </w:rPr>
            </w:pPr>
          </w:p>
        </w:tc>
        <w:tc>
          <w:tcPr>
            <w:tcW w:w="92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auto"/>
                <w:sz w:val="20"/>
                <w:szCs w:val="20"/>
                <w:highlight w:val="none"/>
                <w:u w:val="none"/>
              </w:rPr>
            </w:pPr>
          </w:p>
        </w:tc>
        <w:tc>
          <w:tcPr>
            <w:tcW w:w="33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20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效果（25分）　</w:t>
            </w:r>
          </w:p>
        </w:tc>
        <w:tc>
          <w:tcPr>
            <w:tcW w:w="2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项目效果　</w:t>
            </w: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社会效益</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项目实施对经开区社会发展所产生的直接或者间接影响。</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项目实施推动开发区稳定、高效发展，给企业创造良好的经营环境，促进当地就业增长。</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有效提升</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9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根据相关佐证资料及调查问卷结果酌情给分（5、4、3、2、1）</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kern w:val="0"/>
                <w:sz w:val="20"/>
                <w:szCs w:val="20"/>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8"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经济效益</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项目实施对经开区经济发展所产生的直接或者间接影响。</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开发区、企业和居民收入增长，项目的实施对促进经开区经济发展有提升作用。</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不断提升</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9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根据相关佐证资料及调查问卷结果酌情给分（5、4、3、2、1）。</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kern w:val="0"/>
                <w:sz w:val="20"/>
                <w:szCs w:val="20"/>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8"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生态效益</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项目实施对经开区生态环境带来的直接或间接影响。</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项目实施促进开发区生态环境改善，提高企业废弃物科学处理能力。</w:t>
            </w: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不断提升</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9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根据项目调查及问卷调查结果情况酌情给分（5、4、3、2、1）</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2"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可持续影响</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项目后续运行及成效发挥的可持续性影响。</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项目实施结果对落实好环保管理制度及措施，实现经济与环境协调发展，保证安全生产，全面落实开发区企业安全生产主体责任，持续发挥项目预期效益。</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持续影响</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9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根据相关佐证资料及调查问卷结果酌情给分（5、4、3、2、1）</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cs="宋体"/>
                <w:i w:val="0"/>
                <w:iCs w:val="0"/>
                <w:color w:val="auto"/>
                <w:kern w:val="0"/>
                <w:sz w:val="20"/>
                <w:szCs w:val="20"/>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4" w:hRule="atLeast"/>
        </w:trPr>
        <w:tc>
          <w:tcPr>
            <w:tcW w:w="20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满意度</w:t>
            </w:r>
          </w:p>
        </w:tc>
        <w:tc>
          <w:tcPr>
            <w:tcW w:w="7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社会公众或服务对象对项目实施效果的满意程度。</w:t>
            </w:r>
          </w:p>
        </w:tc>
        <w:tc>
          <w:tcPr>
            <w:tcW w:w="16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服务对象满意度。</w:t>
            </w:r>
          </w:p>
        </w:tc>
        <w:tc>
          <w:tcPr>
            <w:tcW w:w="3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≥90%</w:t>
            </w: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9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问卷调查结果≥90%，得5分；80%～90%按比例得分，小于80%不得分。</w:t>
            </w: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 w:hRule="atLeast"/>
        </w:trPr>
        <w:tc>
          <w:tcPr>
            <w:tcW w:w="1429"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合计</w:t>
            </w:r>
          </w:p>
        </w:tc>
        <w:tc>
          <w:tcPr>
            <w:tcW w:w="16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auto"/>
                <w:sz w:val="20"/>
                <w:szCs w:val="20"/>
                <w:highlight w:val="none"/>
                <w:u w:val="none"/>
              </w:rPr>
            </w:pPr>
          </w:p>
        </w:tc>
        <w:tc>
          <w:tcPr>
            <w:tcW w:w="3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auto"/>
                <w:sz w:val="20"/>
                <w:szCs w:val="20"/>
                <w:highlight w:val="none"/>
                <w:u w:val="none"/>
              </w:rPr>
            </w:pPr>
          </w:p>
        </w:tc>
        <w:tc>
          <w:tcPr>
            <w:tcW w:w="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eastAsia="宋体" w:cs="宋体"/>
                <w:b/>
                <w:bCs/>
                <w:i w:val="0"/>
                <w:iCs w:val="0"/>
                <w:color w:val="auto"/>
                <w:kern w:val="0"/>
                <w:sz w:val="20"/>
                <w:szCs w:val="20"/>
                <w:highlight w:val="none"/>
                <w:u w:val="none"/>
                <w:lang w:val="en-US" w:eastAsia="zh-CN" w:bidi="ar"/>
              </w:rPr>
              <w:t>100</w:t>
            </w:r>
          </w:p>
        </w:tc>
        <w:tc>
          <w:tcPr>
            <w:tcW w:w="92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b/>
                <w:bCs/>
                <w:i w:val="0"/>
                <w:iCs w:val="0"/>
                <w:color w:val="auto"/>
                <w:sz w:val="20"/>
                <w:szCs w:val="20"/>
                <w:highlight w:val="none"/>
                <w:u w:val="none"/>
              </w:rPr>
            </w:pPr>
          </w:p>
        </w:tc>
        <w:tc>
          <w:tcPr>
            <w:tcW w:w="3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0"/>
                <w:szCs w:val="20"/>
                <w:highlight w:val="none"/>
                <w:u w:val="none"/>
              </w:rPr>
            </w:pPr>
            <w:r>
              <w:rPr>
                <w:rFonts w:hint="eastAsia" w:ascii="宋体" w:hAnsi="宋体" w:cs="宋体"/>
                <w:b/>
                <w:bCs/>
                <w:i w:val="0"/>
                <w:iCs w:val="0"/>
                <w:color w:val="auto"/>
                <w:kern w:val="0"/>
                <w:sz w:val="20"/>
                <w:szCs w:val="20"/>
                <w:highlight w:val="none"/>
                <w:u w:val="none"/>
                <w:lang w:val="en-US" w:eastAsia="zh-CN" w:bidi="ar"/>
              </w:rPr>
              <w:t>87.91</w:t>
            </w:r>
          </w:p>
        </w:tc>
      </w:tr>
    </w:tbl>
    <w:p>
      <w:pPr>
        <w:spacing w:line="360" w:lineRule="auto"/>
        <w:rPr>
          <w:rFonts w:ascii="仿宋" w:hAnsi="仿宋" w:eastAsia="仿宋" w:cs="宋体"/>
          <w:color w:val="auto"/>
          <w:sz w:val="30"/>
          <w:szCs w:val="30"/>
          <w:highlight w:val="none"/>
        </w:rPr>
        <w:sectPr>
          <w:pgSz w:w="16838" w:h="11906" w:orient="landscape"/>
          <w:pgMar w:top="1800" w:right="1440" w:bottom="1800" w:left="1440" w:header="851" w:footer="992" w:gutter="0"/>
          <w:cols w:space="720" w:num="1"/>
          <w:docGrid w:type="lines" w:linePitch="312" w:charSpace="0"/>
        </w:sectPr>
      </w:pPr>
    </w:p>
    <w:p>
      <w:pPr>
        <w:spacing w:line="560" w:lineRule="exact"/>
        <w:ind w:firstLine="640" w:firstLineChars="200"/>
        <w:outlineLvl w:val="0"/>
        <w:rPr>
          <w:rFonts w:ascii="黑体" w:hAnsi="黑体" w:eastAsia="黑体" w:cs="楷体"/>
          <w:bCs/>
          <w:color w:val="auto"/>
          <w:sz w:val="32"/>
          <w:szCs w:val="32"/>
          <w:highlight w:val="none"/>
        </w:rPr>
      </w:pPr>
      <w:bookmarkStart w:id="14" w:name="_Toc18906"/>
      <w:bookmarkStart w:id="15" w:name="_Toc1526"/>
      <w:r>
        <w:rPr>
          <w:rFonts w:hint="eastAsia" w:ascii="黑体" w:hAnsi="黑体" w:eastAsia="黑体" w:cs="楷体"/>
          <w:bCs/>
          <w:color w:val="auto"/>
          <w:sz w:val="32"/>
          <w:szCs w:val="32"/>
          <w:highlight w:val="none"/>
        </w:rPr>
        <w:t>二、 佐证材料</w:t>
      </w:r>
      <w:bookmarkEnd w:id="13"/>
      <w:bookmarkEnd w:id="14"/>
      <w:bookmarkEnd w:id="15"/>
      <w:bookmarkStart w:id="16" w:name="_Toc13335"/>
    </w:p>
    <w:p>
      <w:pPr>
        <w:spacing w:line="560" w:lineRule="exact"/>
        <w:ind w:firstLine="643" w:firstLineChars="200"/>
        <w:outlineLvl w:val="1"/>
        <w:rPr>
          <w:rFonts w:ascii="楷体_GB2312" w:hAnsi="楷体" w:eastAsia="楷体_GB2312" w:cs="楷体"/>
          <w:b/>
          <w:color w:val="auto"/>
          <w:sz w:val="32"/>
          <w:szCs w:val="32"/>
          <w:highlight w:val="none"/>
        </w:rPr>
      </w:pPr>
      <w:bookmarkStart w:id="17" w:name="_Toc20802"/>
      <w:bookmarkStart w:id="18" w:name="_Toc23347"/>
      <w:r>
        <w:rPr>
          <w:rFonts w:hint="eastAsia" w:ascii="楷体_GB2312" w:hAnsi="楷体" w:eastAsia="楷体_GB2312" w:cs="楷体"/>
          <w:b/>
          <w:color w:val="auto"/>
          <w:sz w:val="32"/>
          <w:szCs w:val="32"/>
          <w:highlight w:val="none"/>
        </w:rPr>
        <w:t>（一） 基本</w:t>
      </w:r>
      <w:bookmarkEnd w:id="16"/>
      <w:r>
        <w:rPr>
          <w:rFonts w:hint="eastAsia" w:ascii="楷体_GB2312" w:hAnsi="楷体" w:eastAsia="楷体_GB2312" w:cs="楷体"/>
          <w:b/>
          <w:color w:val="auto"/>
          <w:sz w:val="32"/>
          <w:szCs w:val="32"/>
          <w:highlight w:val="none"/>
        </w:rPr>
        <w:t>情况</w:t>
      </w:r>
      <w:bookmarkEnd w:id="17"/>
      <w:bookmarkEnd w:id="18"/>
    </w:p>
    <w:p>
      <w:pPr>
        <w:spacing w:line="560" w:lineRule="exact"/>
        <w:ind w:firstLine="643" w:firstLineChars="200"/>
        <w:outlineLvl w:val="2"/>
        <w:rPr>
          <w:rFonts w:ascii="仿宋_GB2312" w:hAnsi="仿宋" w:eastAsia="仿宋_GB2312" w:cs="楷体"/>
          <w:b/>
          <w:color w:val="auto"/>
          <w:sz w:val="32"/>
          <w:szCs w:val="32"/>
          <w:highlight w:val="none"/>
        </w:rPr>
      </w:pPr>
      <w:bookmarkStart w:id="19" w:name="_Toc10144"/>
      <w:bookmarkStart w:id="20" w:name="_Toc1585"/>
      <w:r>
        <w:rPr>
          <w:rFonts w:hint="eastAsia" w:ascii="仿宋_GB2312" w:hAnsi="仿宋" w:eastAsia="仿宋_GB2312" w:cs="楷体"/>
          <w:b/>
          <w:color w:val="auto"/>
          <w:sz w:val="32"/>
          <w:szCs w:val="32"/>
          <w:highlight w:val="none"/>
        </w:rPr>
        <w:t>1.项目立项背景及目的</w:t>
      </w:r>
      <w:bookmarkEnd w:id="19"/>
      <w:bookmarkEnd w:id="20"/>
    </w:p>
    <w:p>
      <w:pPr>
        <w:spacing w:line="560" w:lineRule="exact"/>
        <w:ind w:firstLine="640" w:firstLineChars="200"/>
        <w:outlineLvl w:val="2"/>
        <w:rPr>
          <w:rFonts w:ascii="仿宋_GB2312" w:hAnsi="仿宋" w:eastAsia="仿宋_GB2312"/>
          <w:color w:val="auto"/>
          <w:sz w:val="32"/>
          <w:szCs w:val="32"/>
          <w:highlight w:val="none"/>
        </w:rPr>
      </w:pPr>
      <w:bookmarkStart w:id="21" w:name="_Toc28487"/>
      <w:bookmarkStart w:id="22" w:name="_Toc26040"/>
      <w:r>
        <w:rPr>
          <w:rFonts w:hint="eastAsia" w:ascii="仿宋_GB2312" w:hAnsi="仿宋" w:eastAsia="仿宋_GB2312"/>
          <w:color w:val="auto"/>
          <w:sz w:val="32"/>
          <w:szCs w:val="32"/>
          <w:highlight w:val="none"/>
        </w:rPr>
        <w:t>为推动通城经济开发区稳定、高效发展，给企业创造良好的经营环境，促进就业增长</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改善开发区生态环境，提高企业废弃物科学处理能力</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落实环保管理制度及措施，实现经济与环境协调发展，保障企业安全生产，全面落实开发区企业安全生产主体责任</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经通城经开发区党工委会议议定立项。项目服务经费项目具体包括：环保管家服务费、突发环境事件应急预案编制技术服务费、通城经济开发区安全生产技术服务费三个子项目。</w:t>
      </w:r>
    </w:p>
    <w:p>
      <w:pPr>
        <w:spacing w:line="560" w:lineRule="exact"/>
        <w:ind w:firstLine="643" w:firstLineChars="200"/>
        <w:outlineLvl w:val="2"/>
        <w:rPr>
          <w:rFonts w:ascii="仿宋_GB2312" w:hAnsi="仿宋" w:eastAsia="仿宋_GB2312"/>
          <w:b/>
          <w:bCs/>
          <w:color w:val="auto"/>
          <w:sz w:val="32"/>
          <w:szCs w:val="32"/>
          <w:highlight w:val="none"/>
        </w:rPr>
      </w:pPr>
      <w:r>
        <w:rPr>
          <w:rFonts w:hint="eastAsia" w:ascii="仿宋_GB2312" w:hAnsi="仿宋" w:eastAsia="仿宋_GB2312"/>
          <w:b/>
          <w:bCs/>
          <w:color w:val="auto"/>
          <w:sz w:val="32"/>
          <w:szCs w:val="32"/>
          <w:highlight w:val="none"/>
        </w:rPr>
        <w:t>2.年度项目总体绩效目标</w:t>
      </w:r>
      <w:bookmarkEnd w:id="21"/>
      <w:bookmarkEnd w:id="22"/>
    </w:p>
    <w:p>
      <w:pPr>
        <w:spacing w:line="560" w:lineRule="exact"/>
        <w:ind w:firstLine="66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为园区企业提供项目服务，推动开发区稳定、高效发展，拉动园区经济增长，给企业创造良好的经营环境，促进就业增长。改善开发区生态环境，提高企业废弃物科学处理能力。落实环保管理制度及措施，实现经济与环境协调发展，保障企业安全生产，全面落实开发区企业安全生产主体责任。</w:t>
      </w:r>
    </w:p>
    <w:p>
      <w:pPr>
        <w:spacing w:line="560" w:lineRule="exact"/>
        <w:ind w:firstLine="598" w:firstLineChars="186"/>
        <w:outlineLvl w:val="2"/>
        <w:rPr>
          <w:rFonts w:ascii="仿宋_GB2312" w:hAnsi="楷体" w:eastAsia="仿宋_GB2312" w:cs="楷体"/>
          <w:b/>
          <w:color w:val="auto"/>
          <w:sz w:val="32"/>
          <w:szCs w:val="32"/>
          <w:highlight w:val="none"/>
        </w:rPr>
      </w:pPr>
      <w:bookmarkStart w:id="23" w:name="_Toc4876"/>
      <w:bookmarkStart w:id="24" w:name="_Toc30530"/>
      <w:r>
        <w:rPr>
          <w:rFonts w:hint="eastAsia" w:ascii="仿宋_GB2312" w:hAnsi="楷体" w:eastAsia="仿宋_GB2312" w:cs="楷体"/>
          <w:b/>
          <w:color w:val="auto"/>
          <w:sz w:val="32"/>
          <w:szCs w:val="32"/>
          <w:highlight w:val="none"/>
        </w:rPr>
        <w:t>3.项目资金的预算安排情况</w:t>
      </w:r>
      <w:bookmarkEnd w:id="23"/>
      <w:bookmarkEnd w:id="24"/>
    </w:p>
    <w:p>
      <w:pPr>
        <w:tabs>
          <w:tab w:val="left" w:pos="10245"/>
        </w:tabs>
        <w:spacing w:line="560" w:lineRule="exact"/>
        <w:ind w:firstLine="6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项目资金来源于通城县本级财政资金，申报预算资金</w:t>
      </w:r>
      <w:r>
        <w:rPr>
          <w:rFonts w:ascii="仿宋_GB2312" w:hAnsi="仿宋" w:eastAsia="仿宋_GB2312"/>
          <w:color w:val="auto"/>
          <w:sz w:val="32"/>
          <w:szCs w:val="32"/>
          <w:highlight w:val="none"/>
        </w:rPr>
        <w:t>45</w:t>
      </w:r>
      <w:r>
        <w:rPr>
          <w:rFonts w:hint="eastAsia" w:ascii="仿宋_GB2312" w:hAnsi="仿宋" w:eastAsia="仿宋_GB2312"/>
          <w:color w:val="auto"/>
          <w:sz w:val="32"/>
          <w:szCs w:val="32"/>
          <w:highlight w:val="none"/>
        </w:rPr>
        <w:t>万元，其中：环保管家服务费子项目</w:t>
      </w:r>
      <w:r>
        <w:rPr>
          <w:rFonts w:ascii="仿宋_GB2312" w:hAnsi="仿宋" w:eastAsia="仿宋_GB2312"/>
          <w:color w:val="auto"/>
          <w:sz w:val="32"/>
          <w:szCs w:val="32"/>
          <w:highlight w:val="none"/>
        </w:rPr>
        <w:t>20</w:t>
      </w:r>
      <w:r>
        <w:rPr>
          <w:rFonts w:hint="eastAsia" w:ascii="仿宋_GB2312" w:hAnsi="仿宋" w:eastAsia="仿宋_GB2312"/>
          <w:color w:val="auto"/>
          <w:sz w:val="32"/>
          <w:szCs w:val="32"/>
          <w:highlight w:val="none"/>
        </w:rPr>
        <w:t>万元、突发环境事件应急预案编制技术服务费子项目1</w:t>
      </w:r>
      <w:r>
        <w:rPr>
          <w:rFonts w:ascii="仿宋_GB2312" w:hAnsi="仿宋" w:eastAsia="仿宋_GB2312"/>
          <w:color w:val="auto"/>
          <w:sz w:val="32"/>
          <w:szCs w:val="32"/>
          <w:highlight w:val="none"/>
        </w:rPr>
        <w:t>5</w:t>
      </w:r>
      <w:r>
        <w:rPr>
          <w:rFonts w:hint="eastAsia" w:ascii="仿宋_GB2312" w:hAnsi="仿宋" w:eastAsia="仿宋_GB2312"/>
          <w:color w:val="auto"/>
          <w:sz w:val="32"/>
          <w:szCs w:val="32"/>
          <w:highlight w:val="none"/>
        </w:rPr>
        <w:t>万元、通城经济开发区安全生产技术服务费子项目1</w:t>
      </w:r>
      <w:r>
        <w:rPr>
          <w:rFonts w:ascii="仿宋_GB2312" w:hAnsi="仿宋" w:eastAsia="仿宋_GB2312"/>
          <w:color w:val="auto"/>
          <w:sz w:val="32"/>
          <w:szCs w:val="32"/>
          <w:highlight w:val="none"/>
        </w:rPr>
        <w:t>0</w:t>
      </w:r>
      <w:r>
        <w:rPr>
          <w:rFonts w:hint="eastAsia" w:ascii="仿宋_GB2312" w:hAnsi="仿宋" w:eastAsia="仿宋_GB2312"/>
          <w:color w:val="auto"/>
          <w:sz w:val="32"/>
          <w:szCs w:val="32"/>
          <w:highlight w:val="none"/>
        </w:rPr>
        <w:t>万元。</w:t>
      </w:r>
    </w:p>
    <w:p>
      <w:pPr>
        <w:spacing w:line="560" w:lineRule="exact"/>
        <w:ind w:firstLine="643" w:firstLineChars="200"/>
        <w:outlineLvl w:val="1"/>
        <w:rPr>
          <w:rFonts w:ascii="楷体_GB2312" w:hAnsi="楷体" w:eastAsia="楷体_GB2312" w:cs="楷体"/>
          <w:b/>
          <w:color w:val="auto"/>
          <w:sz w:val="32"/>
          <w:szCs w:val="32"/>
          <w:highlight w:val="none"/>
        </w:rPr>
      </w:pPr>
      <w:bookmarkStart w:id="25" w:name="_Toc20815"/>
      <w:bookmarkStart w:id="26" w:name="_Toc4776"/>
      <w:r>
        <w:rPr>
          <w:rFonts w:hint="eastAsia" w:ascii="楷体_GB2312" w:hAnsi="楷体" w:eastAsia="楷体_GB2312" w:cs="楷体"/>
          <w:b/>
          <w:color w:val="auto"/>
          <w:sz w:val="32"/>
          <w:szCs w:val="32"/>
          <w:highlight w:val="none"/>
        </w:rPr>
        <w:t>（二）绩效评价工作开展情况</w:t>
      </w:r>
      <w:bookmarkEnd w:id="25"/>
      <w:bookmarkEnd w:id="26"/>
    </w:p>
    <w:p>
      <w:pPr>
        <w:spacing w:line="560" w:lineRule="exact"/>
        <w:ind w:firstLine="643" w:firstLineChars="200"/>
        <w:outlineLvl w:val="2"/>
        <w:rPr>
          <w:rFonts w:ascii="仿宋_GB2312" w:hAnsi="仿宋" w:eastAsia="仿宋_GB2312" w:cs="楷体"/>
          <w:b/>
          <w:color w:val="auto"/>
          <w:sz w:val="32"/>
          <w:szCs w:val="32"/>
          <w:highlight w:val="none"/>
        </w:rPr>
      </w:pPr>
      <w:bookmarkStart w:id="27" w:name="_Toc31260"/>
      <w:bookmarkStart w:id="28" w:name="_Toc439"/>
      <w:r>
        <w:rPr>
          <w:rFonts w:hint="eastAsia" w:ascii="仿宋_GB2312" w:hAnsi="仿宋" w:eastAsia="仿宋_GB2312" w:cs="楷体"/>
          <w:b/>
          <w:color w:val="auto"/>
          <w:sz w:val="32"/>
          <w:szCs w:val="32"/>
          <w:highlight w:val="none"/>
        </w:rPr>
        <w:t>1. 评价目的</w:t>
      </w:r>
      <w:bookmarkEnd w:id="27"/>
      <w:bookmarkEnd w:id="28"/>
    </w:p>
    <w:p>
      <w:pPr>
        <w:spacing w:line="560" w:lineRule="exact"/>
        <w:ind w:firstLine="640" w:firstLineChars="200"/>
        <w:rPr>
          <w:rFonts w:ascii="仿宋_GB2312" w:hAnsi="仿宋" w:eastAsia="仿宋_GB2312" w:cs="宋体"/>
          <w:color w:val="auto"/>
          <w:sz w:val="32"/>
          <w:szCs w:val="32"/>
          <w:highlight w:val="none"/>
        </w:rPr>
      </w:pPr>
      <w:bookmarkStart w:id="29" w:name="_Toc21483"/>
      <w:bookmarkStart w:id="30" w:name="_Toc2587"/>
      <w:r>
        <w:rPr>
          <w:rFonts w:hint="eastAsia" w:ascii="仿宋_GB2312" w:hAnsi="仿宋" w:eastAsia="仿宋_GB2312" w:cs="宋体"/>
          <w:color w:val="auto"/>
          <w:sz w:val="32"/>
          <w:szCs w:val="32"/>
          <w:highlight w:val="none"/>
        </w:rPr>
        <w:t>通过开展项目绩效评价工作，一是全面了解项目资金投入计划执行、资金管理与使用，项目实施管理以及项目绩效产出与效果，考核项目资金支出与实现的绩效目标的匹配性，为预算资金投入合理安排提供参考依据，提高财政资金的使用效率和管理水平。二是促使项目资金使用单位树立绩效管理意识及风险控制意识，以问题为导向，进一步完善资金投入项目管理，优化财政资源配置效率与使用效益。</w:t>
      </w:r>
    </w:p>
    <w:bookmarkEnd w:id="29"/>
    <w:bookmarkEnd w:id="30"/>
    <w:p>
      <w:pPr>
        <w:spacing w:line="560" w:lineRule="exact"/>
        <w:ind w:firstLine="643" w:firstLineChars="200"/>
        <w:outlineLvl w:val="2"/>
        <w:rPr>
          <w:rFonts w:ascii="仿宋_GB2312" w:hAnsi="仿宋" w:eastAsia="仿宋_GB2312" w:cs="宋体"/>
          <w:b/>
          <w:color w:val="auto"/>
          <w:sz w:val="32"/>
          <w:szCs w:val="32"/>
          <w:highlight w:val="none"/>
        </w:rPr>
      </w:pPr>
      <w:bookmarkStart w:id="31" w:name="_Toc29704"/>
      <w:bookmarkStart w:id="32" w:name="_Toc7376"/>
      <w:r>
        <w:rPr>
          <w:rFonts w:hint="eastAsia" w:ascii="仿宋_GB2312" w:hAnsi="仿宋" w:eastAsia="仿宋_GB2312" w:cs="宋体"/>
          <w:b/>
          <w:color w:val="auto"/>
          <w:sz w:val="32"/>
          <w:szCs w:val="32"/>
          <w:highlight w:val="none"/>
        </w:rPr>
        <w:t>2.评价对象与范围</w:t>
      </w:r>
      <w:bookmarkEnd w:id="31"/>
      <w:bookmarkEnd w:id="32"/>
    </w:p>
    <w:p>
      <w:pPr>
        <w:tabs>
          <w:tab w:val="left" w:pos="10245"/>
        </w:tabs>
        <w:spacing w:line="560" w:lineRule="exact"/>
        <w:ind w:firstLine="6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本次评价对象为通城经济开发区</w:t>
      </w:r>
      <w:r>
        <w:rPr>
          <w:rFonts w:hint="eastAsia" w:ascii="仿宋_GB2312" w:hAnsi="仿宋" w:eastAsia="仿宋_GB2312"/>
          <w:color w:val="auto"/>
          <w:sz w:val="32"/>
          <w:szCs w:val="32"/>
          <w:highlight w:val="none"/>
        </w:rPr>
        <w:t>202</w:t>
      </w:r>
      <w:r>
        <w:rPr>
          <w:rFonts w:ascii="仿宋_GB2312" w:hAnsi="仿宋" w:eastAsia="仿宋_GB2312"/>
          <w:color w:val="auto"/>
          <w:sz w:val="32"/>
          <w:szCs w:val="32"/>
          <w:highlight w:val="none"/>
        </w:rPr>
        <w:t>2</w:t>
      </w:r>
      <w:r>
        <w:rPr>
          <w:rFonts w:hint="eastAsia" w:ascii="仿宋_GB2312" w:hAnsi="仿宋" w:eastAsia="仿宋_GB2312"/>
          <w:color w:val="auto"/>
          <w:sz w:val="32"/>
          <w:szCs w:val="32"/>
          <w:highlight w:val="none"/>
        </w:rPr>
        <w:t>年项目服务经费项目，该项目申报预算资金</w:t>
      </w:r>
      <w:r>
        <w:rPr>
          <w:rFonts w:ascii="仿宋_GB2312" w:hAnsi="仿宋" w:eastAsia="仿宋_GB2312"/>
          <w:color w:val="auto"/>
          <w:sz w:val="32"/>
          <w:szCs w:val="32"/>
          <w:highlight w:val="none"/>
        </w:rPr>
        <w:t>45</w:t>
      </w:r>
      <w:r>
        <w:rPr>
          <w:rFonts w:hint="eastAsia" w:ascii="仿宋_GB2312" w:hAnsi="仿宋" w:eastAsia="仿宋_GB2312"/>
          <w:color w:val="auto"/>
          <w:sz w:val="32"/>
          <w:szCs w:val="32"/>
          <w:highlight w:val="none"/>
        </w:rPr>
        <w:t>万元，实际已拨付4</w:t>
      </w:r>
      <w:r>
        <w:rPr>
          <w:rFonts w:ascii="仿宋_GB2312" w:hAnsi="仿宋" w:eastAsia="仿宋_GB2312"/>
          <w:color w:val="auto"/>
          <w:sz w:val="32"/>
          <w:szCs w:val="32"/>
          <w:highlight w:val="none"/>
        </w:rPr>
        <w:t>4</w:t>
      </w:r>
      <w:r>
        <w:rPr>
          <w:rFonts w:hint="eastAsia" w:ascii="仿宋_GB2312" w:hAnsi="仿宋" w:eastAsia="仿宋_GB2312"/>
          <w:color w:val="auto"/>
          <w:sz w:val="32"/>
          <w:szCs w:val="32"/>
          <w:highlight w:val="none"/>
        </w:rPr>
        <w:t>万元。</w:t>
      </w:r>
    </w:p>
    <w:p>
      <w:pPr>
        <w:spacing w:line="560" w:lineRule="exact"/>
        <w:ind w:firstLine="570"/>
        <w:outlineLvl w:val="2"/>
        <w:rPr>
          <w:rFonts w:ascii="仿宋_GB2312" w:hAnsi="仿宋" w:eastAsia="仿宋_GB2312" w:cs="宋体"/>
          <w:b/>
          <w:color w:val="auto"/>
          <w:sz w:val="32"/>
          <w:szCs w:val="32"/>
          <w:highlight w:val="none"/>
        </w:rPr>
      </w:pPr>
      <w:bookmarkStart w:id="33" w:name="_Toc15592"/>
      <w:bookmarkStart w:id="34" w:name="_Toc7613"/>
      <w:r>
        <w:rPr>
          <w:rFonts w:hint="eastAsia" w:ascii="仿宋_GB2312" w:hAnsi="仿宋" w:eastAsia="仿宋_GB2312" w:cs="宋体"/>
          <w:b/>
          <w:color w:val="auto"/>
          <w:sz w:val="32"/>
          <w:szCs w:val="32"/>
          <w:highlight w:val="none"/>
        </w:rPr>
        <w:t>3.评价内容</w:t>
      </w:r>
      <w:bookmarkEnd w:id="33"/>
      <w:bookmarkEnd w:id="34"/>
    </w:p>
    <w:p>
      <w:pPr>
        <w:spacing w:line="560" w:lineRule="exact"/>
        <w:ind w:firstLine="57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从项目决策、过程、产出、效果四个基本维度（一级指标）及其各维度细分评价指标及标准对项目实施绩效进行综合评价。</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决策。主要评价资金项目立项的规范性、绩效目标的明确性、资金的预算编制及合理安排情况；</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过程。主要评价资金与项目建设的保障与管理，包括项目的资金执行结果、财务与业务管理制度的建设与执行有效性，机构与人员保障性等；</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产出。主要评价项目设定的建设目标实际完成情况。包括产出的数量、质量、时效及成本指标的完成情况；</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效果。主要评价项目实施给经济和社会带来的直接或间接影响，项目后续运行及成效发挥的可持续影响情况，以及项目服务对象对项目实施的满意程度。</w:t>
      </w:r>
    </w:p>
    <w:p>
      <w:pPr>
        <w:spacing w:line="560" w:lineRule="exact"/>
        <w:ind w:firstLine="643" w:firstLineChars="200"/>
        <w:outlineLvl w:val="2"/>
        <w:rPr>
          <w:rFonts w:ascii="仿宋_GB2312" w:hAnsi="仿宋" w:eastAsia="仿宋_GB2312" w:cs="楷体"/>
          <w:b/>
          <w:bCs/>
          <w:color w:val="auto"/>
          <w:sz w:val="32"/>
          <w:szCs w:val="32"/>
          <w:highlight w:val="none"/>
        </w:rPr>
      </w:pPr>
      <w:bookmarkStart w:id="35" w:name="_Toc15586"/>
      <w:bookmarkStart w:id="36" w:name="_Toc18922"/>
      <w:bookmarkStart w:id="37" w:name="_Toc5023"/>
      <w:r>
        <w:rPr>
          <w:rFonts w:hint="eastAsia" w:ascii="仿宋_GB2312" w:hAnsi="仿宋" w:eastAsia="仿宋_GB2312" w:cs="宋体"/>
          <w:b/>
          <w:color w:val="auto"/>
          <w:sz w:val="32"/>
          <w:szCs w:val="32"/>
          <w:highlight w:val="none"/>
        </w:rPr>
        <w:t>4.</w:t>
      </w:r>
      <w:r>
        <w:rPr>
          <w:rFonts w:hint="eastAsia" w:ascii="仿宋_GB2312" w:hAnsi="仿宋" w:eastAsia="仿宋_GB2312" w:cs="楷体"/>
          <w:b/>
          <w:bCs/>
          <w:color w:val="auto"/>
          <w:sz w:val="32"/>
          <w:szCs w:val="32"/>
          <w:highlight w:val="none"/>
        </w:rPr>
        <w:t>评价工作组织</w:t>
      </w:r>
      <w:bookmarkEnd w:id="35"/>
      <w:bookmarkEnd w:id="36"/>
      <w:bookmarkEnd w:id="37"/>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湖北恒信会计师事务有限公司受通城县财政局的委托，开展本次项目的绩效评价工作，根据湖北省预算绩效管理《第三方机构参与预算绩效管理工作行为规范》及通城县财政局《关于开展2022年度预算单位重点绩效评价工作的通知》（隽财发</w:t>
      </w:r>
      <w:r>
        <w:rPr>
          <w:rFonts w:hint="eastAsia" w:ascii="仿宋_GB2312" w:hAnsi="仿宋_GB2312" w:eastAsia="仿宋_GB2312" w:cs="仿宋_GB2312"/>
          <w:color w:val="auto"/>
          <w:sz w:val="32"/>
          <w:szCs w:val="32"/>
          <w:highlight w:val="none"/>
        </w:rPr>
        <w:t>〔202</w:t>
      </w:r>
      <w:r>
        <w:rPr>
          <w:rFonts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rPr>
        <w:t>〕</w:t>
      </w:r>
      <w:r>
        <w:rPr>
          <w:rFonts w:ascii="仿宋_GB2312" w:hAnsi="仿宋_GB2312" w:eastAsia="仿宋_GB2312" w:cs="仿宋_GB2312"/>
          <w:color w:val="auto"/>
          <w:sz w:val="32"/>
          <w:szCs w:val="32"/>
          <w:highlight w:val="none"/>
        </w:rPr>
        <w:t>24</w:t>
      </w:r>
      <w:r>
        <w:rPr>
          <w:rFonts w:hint="eastAsia" w:ascii="仿宋_GB2312" w:hAnsi="仿宋_GB2312" w:eastAsia="仿宋_GB2312" w:cs="仿宋_GB2312"/>
          <w:color w:val="auto"/>
          <w:sz w:val="32"/>
          <w:szCs w:val="32"/>
          <w:highlight w:val="none"/>
        </w:rPr>
        <w:t>号）</w:t>
      </w:r>
      <w:r>
        <w:rPr>
          <w:rFonts w:hint="eastAsia" w:ascii="仿宋_GB2312" w:hAnsi="仿宋" w:eastAsia="仿宋_GB2312" w:cs="宋体"/>
          <w:color w:val="auto"/>
          <w:sz w:val="32"/>
          <w:szCs w:val="32"/>
          <w:highlight w:val="none"/>
        </w:rPr>
        <w:t>的要求，积极组织开展评价工作。</w:t>
      </w:r>
    </w:p>
    <w:p>
      <w:pPr>
        <w:spacing w:line="560" w:lineRule="exact"/>
        <w:ind w:firstLine="643" w:firstLineChars="200"/>
        <w:rPr>
          <w:rFonts w:ascii="仿宋_GB2312" w:hAnsi="仿宋" w:eastAsia="仿宋_GB2312" w:cs="宋体"/>
          <w:color w:val="auto"/>
          <w:sz w:val="32"/>
          <w:szCs w:val="32"/>
          <w:highlight w:val="none"/>
        </w:rPr>
      </w:pPr>
      <w:r>
        <w:rPr>
          <w:rFonts w:hint="eastAsia" w:ascii="仿宋_GB2312" w:hAnsi="仿宋" w:eastAsia="仿宋_GB2312" w:cs="宋体"/>
          <w:b/>
          <w:color w:val="auto"/>
          <w:sz w:val="32"/>
          <w:szCs w:val="32"/>
          <w:highlight w:val="none"/>
        </w:rPr>
        <w:t>（1）准备阶段（6月</w:t>
      </w:r>
      <w:r>
        <w:rPr>
          <w:rFonts w:ascii="仿宋_GB2312" w:hAnsi="仿宋" w:eastAsia="仿宋_GB2312" w:cs="宋体"/>
          <w:b/>
          <w:color w:val="auto"/>
          <w:sz w:val="32"/>
          <w:szCs w:val="32"/>
          <w:highlight w:val="none"/>
        </w:rPr>
        <w:t>19</w:t>
      </w:r>
      <w:r>
        <w:rPr>
          <w:rFonts w:hint="eastAsia" w:ascii="仿宋_GB2312" w:hAnsi="仿宋" w:eastAsia="仿宋_GB2312" w:cs="宋体"/>
          <w:b/>
          <w:color w:val="auto"/>
          <w:sz w:val="32"/>
          <w:szCs w:val="32"/>
          <w:highlight w:val="none"/>
        </w:rPr>
        <w:t>日-</w:t>
      </w:r>
      <w:r>
        <w:rPr>
          <w:rFonts w:hint="eastAsia" w:ascii="仿宋_GB2312" w:hAnsi="仿宋" w:eastAsia="仿宋_GB2312" w:cs="宋体"/>
          <w:b/>
          <w:color w:val="auto"/>
          <w:sz w:val="32"/>
          <w:szCs w:val="32"/>
          <w:highlight w:val="none"/>
          <w:lang w:val="en-US" w:eastAsia="zh-CN"/>
        </w:rPr>
        <w:t>7</w:t>
      </w:r>
      <w:r>
        <w:rPr>
          <w:rFonts w:hint="eastAsia" w:ascii="仿宋_GB2312" w:hAnsi="仿宋" w:eastAsia="仿宋_GB2312" w:cs="宋体"/>
          <w:b/>
          <w:color w:val="auto"/>
          <w:sz w:val="32"/>
          <w:szCs w:val="32"/>
          <w:highlight w:val="none"/>
        </w:rPr>
        <w:t>月</w:t>
      </w:r>
      <w:r>
        <w:rPr>
          <w:rFonts w:hint="eastAsia" w:ascii="仿宋_GB2312" w:hAnsi="仿宋" w:eastAsia="仿宋_GB2312" w:cs="宋体"/>
          <w:b/>
          <w:color w:val="auto"/>
          <w:sz w:val="32"/>
          <w:szCs w:val="32"/>
          <w:highlight w:val="none"/>
          <w:lang w:val="en-US" w:eastAsia="zh-CN"/>
        </w:rPr>
        <w:t>10</w:t>
      </w:r>
      <w:r>
        <w:rPr>
          <w:rFonts w:hint="eastAsia" w:ascii="仿宋_GB2312" w:hAnsi="仿宋" w:eastAsia="仿宋_GB2312" w:cs="宋体"/>
          <w:b/>
          <w:color w:val="auto"/>
          <w:sz w:val="32"/>
          <w:szCs w:val="32"/>
          <w:highlight w:val="none"/>
        </w:rPr>
        <w:t>日）。</w:t>
      </w:r>
      <w:r>
        <w:rPr>
          <w:rFonts w:hint="eastAsia" w:ascii="仿宋_GB2312" w:hAnsi="仿宋" w:eastAsia="仿宋_GB2312" w:cs="宋体"/>
          <w:color w:val="auto"/>
          <w:sz w:val="32"/>
          <w:szCs w:val="32"/>
          <w:highlight w:val="none"/>
        </w:rPr>
        <w:t>成立评价工作组，根据本次绩效评价工作的目标、任务及要求，由公司熟悉预算绩效管理政策、工作经验丰富并在财政项目支出评价和相关行业领域的专业人员组成本次绩效评价工作小组，并由2名主评人参与主导。</w:t>
      </w:r>
    </w:p>
    <w:p>
      <w:pPr>
        <w:spacing w:line="560" w:lineRule="exact"/>
        <w:ind w:firstLine="643" w:firstLineChars="200"/>
        <w:rPr>
          <w:rFonts w:ascii="仿宋_GB2312" w:hAnsi="仿宋" w:eastAsia="仿宋_GB2312" w:cs="宋体"/>
          <w:b/>
          <w:color w:val="auto"/>
          <w:sz w:val="32"/>
          <w:szCs w:val="32"/>
          <w:highlight w:val="none"/>
        </w:rPr>
      </w:pPr>
      <w:r>
        <w:rPr>
          <w:rFonts w:hint="eastAsia" w:ascii="仿宋_GB2312" w:hAnsi="仿宋" w:eastAsia="仿宋_GB2312" w:cs="宋体"/>
          <w:b/>
          <w:color w:val="auto"/>
          <w:sz w:val="32"/>
          <w:szCs w:val="32"/>
          <w:highlight w:val="none"/>
        </w:rPr>
        <w:t>（2）实施阶段（</w:t>
      </w:r>
      <w:r>
        <w:rPr>
          <w:rFonts w:hint="eastAsia" w:ascii="仿宋_GB2312" w:hAnsi="仿宋" w:eastAsia="仿宋_GB2312" w:cs="宋体"/>
          <w:b/>
          <w:color w:val="auto"/>
          <w:sz w:val="32"/>
          <w:szCs w:val="32"/>
          <w:highlight w:val="none"/>
          <w:lang w:val="en-US" w:eastAsia="zh-CN"/>
        </w:rPr>
        <w:t>7</w:t>
      </w:r>
      <w:r>
        <w:rPr>
          <w:rFonts w:hint="eastAsia" w:ascii="仿宋_GB2312" w:hAnsi="仿宋" w:eastAsia="仿宋_GB2312" w:cs="宋体"/>
          <w:b/>
          <w:color w:val="auto"/>
          <w:sz w:val="32"/>
          <w:szCs w:val="32"/>
          <w:highlight w:val="none"/>
        </w:rPr>
        <w:t>月</w:t>
      </w:r>
      <w:r>
        <w:rPr>
          <w:rFonts w:hint="eastAsia" w:ascii="仿宋_GB2312" w:hAnsi="仿宋" w:eastAsia="仿宋_GB2312" w:cs="宋体"/>
          <w:b/>
          <w:color w:val="auto"/>
          <w:sz w:val="32"/>
          <w:szCs w:val="32"/>
          <w:highlight w:val="none"/>
          <w:lang w:val="en-US" w:eastAsia="zh-CN"/>
        </w:rPr>
        <w:t>11</w:t>
      </w:r>
      <w:r>
        <w:rPr>
          <w:rFonts w:hint="eastAsia" w:ascii="仿宋_GB2312" w:hAnsi="仿宋" w:eastAsia="仿宋_GB2312" w:cs="宋体"/>
          <w:b/>
          <w:color w:val="auto"/>
          <w:sz w:val="32"/>
          <w:szCs w:val="32"/>
          <w:highlight w:val="none"/>
        </w:rPr>
        <w:t>日-</w:t>
      </w:r>
      <w:r>
        <w:rPr>
          <w:rFonts w:hint="eastAsia" w:ascii="仿宋_GB2312" w:hAnsi="仿宋" w:eastAsia="仿宋_GB2312" w:cs="宋体"/>
          <w:b/>
          <w:color w:val="auto"/>
          <w:sz w:val="32"/>
          <w:szCs w:val="32"/>
          <w:highlight w:val="none"/>
          <w:lang w:val="en-US" w:eastAsia="zh-CN"/>
        </w:rPr>
        <w:t>8</w:t>
      </w:r>
      <w:r>
        <w:rPr>
          <w:rFonts w:hint="eastAsia" w:ascii="仿宋_GB2312" w:hAnsi="仿宋" w:eastAsia="仿宋_GB2312" w:cs="宋体"/>
          <w:b/>
          <w:color w:val="auto"/>
          <w:sz w:val="32"/>
          <w:szCs w:val="32"/>
          <w:highlight w:val="none"/>
        </w:rPr>
        <w:t>月</w:t>
      </w:r>
      <w:r>
        <w:rPr>
          <w:rFonts w:ascii="仿宋_GB2312" w:hAnsi="仿宋" w:eastAsia="仿宋_GB2312" w:cs="宋体"/>
          <w:b/>
          <w:color w:val="auto"/>
          <w:sz w:val="32"/>
          <w:szCs w:val="32"/>
          <w:highlight w:val="none"/>
        </w:rPr>
        <w:t>15</w:t>
      </w:r>
      <w:r>
        <w:rPr>
          <w:rFonts w:hint="eastAsia" w:ascii="仿宋_GB2312" w:hAnsi="仿宋" w:eastAsia="仿宋_GB2312" w:cs="宋体"/>
          <w:b/>
          <w:color w:val="auto"/>
          <w:sz w:val="32"/>
          <w:szCs w:val="32"/>
          <w:highlight w:val="none"/>
        </w:rPr>
        <w:t>日）。</w:t>
      </w:r>
      <w:r>
        <w:rPr>
          <w:rFonts w:hint="eastAsia" w:ascii="仿宋_GB2312" w:hAnsi="仿宋" w:eastAsia="仿宋_GB2312" w:cs="宋体"/>
          <w:color w:val="auto"/>
          <w:sz w:val="32"/>
          <w:szCs w:val="32"/>
          <w:highlight w:val="none"/>
        </w:rPr>
        <w:t>评价工作组向通城县财政局和通城经开区管委会了解项目实施相关政策背景目的、资金安排、项目申报、项目审核、资金分配及拨付等相关管理信息材料，制定评价工作具体方案，设计评价指标体系。</w:t>
      </w:r>
    </w:p>
    <w:p>
      <w:pPr>
        <w:spacing w:line="360" w:lineRule="auto"/>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 xml:space="preserve">评价工作组进点各项目实施单位，并组织开展专题座谈、访谈，项目现场实地堪查核查，核查项目资金的管理与使用，考核项目绩效目标的实现程度，实施问卷调查等工作。查阅取证，收集评价相关信息资料。 </w:t>
      </w:r>
    </w:p>
    <w:p>
      <w:pPr>
        <w:spacing w:line="360" w:lineRule="auto"/>
        <w:ind w:firstLine="643" w:firstLineChars="200"/>
        <w:rPr>
          <w:rFonts w:ascii="仿宋_GB2312" w:hAnsi="仿宋" w:eastAsia="仿宋_GB2312" w:cs="宋体"/>
          <w:color w:val="auto"/>
          <w:sz w:val="32"/>
          <w:szCs w:val="32"/>
          <w:highlight w:val="none"/>
        </w:rPr>
      </w:pPr>
      <w:r>
        <w:rPr>
          <w:rFonts w:hint="eastAsia" w:ascii="仿宋_GB2312" w:hAnsi="仿宋" w:eastAsia="仿宋_GB2312" w:cs="宋体"/>
          <w:b/>
          <w:color w:val="auto"/>
          <w:sz w:val="32"/>
          <w:szCs w:val="32"/>
          <w:highlight w:val="none"/>
        </w:rPr>
        <w:t>（3）报告阶段（</w:t>
      </w:r>
      <w:r>
        <w:rPr>
          <w:rFonts w:hint="eastAsia" w:ascii="仿宋_GB2312" w:hAnsi="仿宋" w:eastAsia="仿宋_GB2312" w:cs="宋体"/>
          <w:b/>
          <w:color w:val="auto"/>
          <w:sz w:val="32"/>
          <w:szCs w:val="32"/>
          <w:highlight w:val="none"/>
          <w:lang w:val="en-US" w:eastAsia="zh-CN"/>
        </w:rPr>
        <w:t>8</w:t>
      </w:r>
      <w:r>
        <w:rPr>
          <w:rFonts w:hint="eastAsia" w:ascii="仿宋_GB2312" w:hAnsi="仿宋" w:eastAsia="仿宋_GB2312" w:cs="宋体"/>
          <w:b/>
          <w:color w:val="auto"/>
          <w:sz w:val="32"/>
          <w:szCs w:val="32"/>
          <w:highlight w:val="none"/>
        </w:rPr>
        <w:t>月</w:t>
      </w:r>
      <w:r>
        <w:rPr>
          <w:rFonts w:ascii="仿宋_GB2312" w:hAnsi="仿宋" w:eastAsia="仿宋_GB2312" w:cs="宋体"/>
          <w:b/>
          <w:color w:val="auto"/>
          <w:sz w:val="32"/>
          <w:szCs w:val="32"/>
          <w:highlight w:val="none"/>
        </w:rPr>
        <w:t>16</w:t>
      </w:r>
      <w:r>
        <w:rPr>
          <w:rFonts w:hint="eastAsia" w:ascii="仿宋_GB2312" w:hAnsi="仿宋" w:eastAsia="仿宋_GB2312" w:cs="宋体"/>
          <w:b/>
          <w:color w:val="auto"/>
          <w:sz w:val="32"/>
          <w:szCs w:val="32"/>
          <w:highlight w:val="none"/>
        </w:rPr>
        <w:t>日-</w:t>
      </w:r>
      <w:r>
        <w:rPr>
          <w:rFonts w:hint="eastAsia" w:ascii="仿宋_GB2312" w:hAnsi="仿宋" w:eastAsia="仿宋_GB2312" w:cs="宋体"/>
          <w:b/>
          <w:color w:val="auto"/>
          <w:sz w:val="32"/>
          <w:szCs w:val="32"/>
          <w:highlight w:val="none"/>
          <w:lang w:val="en-US" w:eastAsia="zh-CN"/>
        </w:rPr>
        <w:t>9</w:t>
      </w:r>
      <w:r>
        <w:rPr>
          <w:rFonts w:hint="eastAsia" w:ascii="仿宋_GB2312" w:hAnsi="仿宋" w:eastAsia="仿宋_GB2312" w:cs="宋体"/>
          <w:b/>
          <w:color w:val="auto"/>
          <w:sz w:val="32"/>
          <w:szCs w:val="32"/>
          <w:highlight w:val="none"/>
        </w:rPr>
        <w:t>月</w:t>
      </w:r>
      <w:r>
        <w:rPr>
          <w:rFonts w:hint="eastAsia" w:ascii="仿宋_GB2312" w:hAnsi="仿宋" w:eastAsia="仿宋_GB2312" w:cs="宋体"/>
          <w:b/>
          <w:color w:val="auto"/>
          <w:sz w:val="32"/>
          <w:szCs w:val="32"/>
          <w:highlight w:val="none"/>
          <w:lang w:val="en-US" w:eastAsia="zh-CN"/>
        </w:rPr>
        <w:t>20</w:t>
      </w:r>
      <w:bookmarkStart w:id="66" w:name="_GoBack"/>
      <w:bookmarkEnd w:id="66"/>
      <w:r>
        <w:rPr>
          <w:rFonts w:hint="eastAsia" w:ascii="仿宋_GB2312" w:hAnsi="仿宋" w:eastAsia="仿宋_GB2312" w:cs="宋体"/>
          <w:b/>
          <w:color w:val="auto"/>
          <w:sz w:val="32"/>
          <w:szCs w:val="32"/>
          <w:highlight w:val="none"/>
        </w:rPr>
        <w:t>）。</w:t>
      </w:r>
      <w:r>
        <w:rPr>
          <w:rFonts w:hint="eastAsia" w:ascii="仿宋_GB2312" w:hAnsi="仿宋" w:eastAsia="仿宋_GB2312" w:cs="宋体"/>
          <w:color w:val="auto"/>
          <w:sz w:val="32"/>
          <w:szCs w:val="32"/>
          <w:highlight w:val="none"/>
        </w:rPr>
        <w:t>评价工作组对收集到的评价信息资料进行统计、整理与分析，根据评价基础数据及信息资料统计、整理分析结果，对照项目绩效评价指标体系具体指标及评分标准进行综合分析评价及指标得分计算，作出初步评价结论，撰写并完成评价报告初稿，提交通城县财政局、通城经开区管委会征询意见。根据反馈意见修改、调整、完善评价报告初稿，并正式提交报告。</w:t>
      </w:r>
    </w:p>
    <w:p>
      <w:pPr>
        <w:spacing w:line="560" w:lineRule="exact"/>
        <w:ind w:firstLine="643" w:firstLineChars="200"/>
        <w:outlineLvl w:val="2"/>
        <w:rPr>
          <w:rFonts w:ascii="仿宋_GB2312" w:hAnsi="仿宋" w:eastAsia="仿宋_GB2312" w:cs="楷体"/>
          <w:b/>
          <w:color w:val="auto"/>
          <w:sz w:val="32"/>
          <w:szCs w:val="32"/>
          <w:highlight w:val="none"/>
        </w:rPr>
      </w:pPr>
      <w:bookmarkStart w:id="38" w:name="_Toc22196"/>
      <w:bookmarkStart w:id="39" w:name="_Toc8852"/>
      <w:r>
        <w:rPr>
          <w:rFonts w:hint="eastAsia" w:ascii="仿宋_GB2312" w:hAnsi="仿宋" w:eastAsia="仿宋_GB2312" w:cs="楷体"/>
          <w:b/>
          <w:color w:val="auto"/>
          <w:sz w:val="32"/>
          <w:szCs w:val="32"/>
          <w:highlight w:val="none"/>
        </w:rPr>
        <w:t>5.绩效评价框架</w:t>
      </w:r>
      <w:bookmarkEnd w:id="38"/>
      <w:bookmarkEnd w:id="39"/>
    </w:p>
    <w:p>
      <w:pPr>
        <w:spacing w:line="560" w:lineRule="exact"/>
        <w:rPr>
          <w:rFonts w:ascii="仿宋_GB2312" w:hAnsi="仿宋" w:eastAsia="仿宋_GB2312" w:cs="楷体"/>
          <w:b/>
          <w:bCs/>
          <w:color w:val="auto"/>
          <w:sz w:val="32"/>
          <w:szCs w:val="32"/>
          <w:highlight w:val="none"/>
        </w:rPr>
      </w:pPr>
      <w:r>
        <w:rPr>
          <w:rFonts w:hint="eastAsia" w:ascii="仿宋_GB2312" w:hAnsi="楷体" w:eastAsia="仿宋_GB2312" w:cs="楷体"/>
          <w:color w:val="auto"/>
          <w:sz w:val="32"/>
          <w:szCs w:val="32"/>
          <w:highlight w:val="none"/>
        </w:rPr>
        <w:t xml:space="preserve">    </w:t>
      </w:r>
      <w:bookmarkStart w:id="40" w:name="_Toc22451"/>
      <w:r>
        <w:rPr>
          <w:rFonts w:hint="eastAsia" w:ascii="仿宋_GB2312" w:hAnsi="仿宋" w:eastAsia="仿宋_GB2312" w:cs="楷体"/>
          <w:b/>
          <w:bCs/>
          <w:color w:val="auto"/>
          <w:sz w:val="32"/>
          <w:szCs w:val="32"/>
          <w:highlight w:val="none"/>
        </w:rPr>
        <w:t>（1）评价原则</w:t>
      </w:r>
      <w:bookmarkEnd w:id="40"/>
    </w:p>
    <w:p>
      <w:pPr>
        <w:spacing w:line="560" w:lineRule="exact"/>
        <w:rPr>
          <w:rFonts w:ascii="仿宋_GB2312" w:hAnsi="仿宋" w:eastAsia="仿宋_GB2312" w:cs="宋体"/>
          <w:color w:val="auto"/>
          <w:sz w:val="32"/>
          <w:szCs w:val="32"/>
          <w:highlight w:val="none"/>
        </w:rPr>
      </w:pPr>
      <w:r>
        <w:rPr>
          <w:rFonts w:hint="eastAsia" w:ascii="仿宋_GB2312" w:hAnsi="楷体" w:eastAsia="仿宋_GB2312" w:cs="楷体"/>
          <w:b/>
          <w:bCs/>
          <w:color w:val="auto"/>
          <w:sz w:val="32"/>
          <w:szCs w:val="32"/>
          <w:highlight w:val="none"/>
        </w:rPr>
        <w:t xml:space="preserve">  </w:t>
      </w:r>
      <w:r>
        <w:rPr>
          <w:rFonts w:hint="eastAsia" w:ascii="仿宋_GB2312" w:hAnsi="楷体" w:eastAsia="仿宋_GB2312" w:cs="楷体"/>
          <w:bCs/>
          <w:color w:val="auto"/>
          <w:sz w:val="32"/>
          <w:szCs w:val="32"/>
          <w:highlight w:val="none"/>
        </w:rPr>
        <w:t xml:space="preserve"> </w:t>
      </w:r>
      <w:r>
        <w:rPr>
          <w:rFonts w:hint="eastAsia" w:ascii="仿宋_GB2312" w:hAnsi="仿宋" w:eastAsia="仿宋_GB2312" w:cs="楷体"/>
          <w:bCs/>
          <w:color w:val="auto"/>
          <w:sz w:val="32"/>
          <w:szCs w:val="32"/>
          <w:highlight w:val="none"/>
        </w:rPr>
        <w:t xml:space="preserve"> a）客观公正、</w:t>
      </w:r>
      <w:r>
        <w:rPr>
          <w:rFonts w:hint="eastAsia" w:ascii="仿宋_GB2312" w:hAnsi="仿宋" w:eastAsia="仿宋_GB2312" w:cs="宋体"/>
          <w:color w:val="auto"/>
          <w:sz w:val="32"/>
          <w:szCs w:val="32"/>
          <w:highlight w:val="none"/>
        </w:rPr>
        <w:t>科学规范原则。按照“公开、公平、公正”的要求，采用科学、规范的评价程序和操作方案，准确全面地衡量资金项目的绩效情况。</w:t>
      </w:r>
    </w:p>
    <w:p>
      <w:pPr>
        <w:spacing w:line="560" w:lineRule="exact"/>
        <w:ind w:firstLine="672" w:firstLineChars="21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b）目标导向原则。以项目的预期绩效目标为导向，重点评价项目目标的合理性、相关性、目标实现程度、相对于目标实现程度的效率及项目成效的可持续性。</w:t>
      </w:r>
    </w:p>
    <w:p>
      <w:pPr>
        <w:spacing w:line="560" w:lineRule="exact"/>
        <w:ind w:firstLine="672" w:firstLineChars="21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c）定性与定量相结合原则。以量化指标测定分值的基础上，结合项目实施效果和管理工作情况进行综合评价分析。</w:t>
      </w:r>
    </w:p>
    <w:p>
      <w:pPr>
        <w:spacing w:line="560" w:lineRule="exact"/>
        <w:rPr>
          <w:rFonts w:ascii="仿宋_GB2312" w:hAnsi="仿宋" w:eastAsia="仿宋_GB2312" w:cs="楷体"/>
          <w:b/>
          <w:bCs/>
          <w:color w:val="auto"/>
          <w:sz w:val="32"/>
          <w:szCs w:val="32"/>
          <w:highlight w:val="none"/>
        </w:rPr>
      </w:pPr>
      <w:r>
        <w:rPr>
          <w:rFonts w:hint="eastAsia" w:ascii="仿宋_GB2312" w:hAnsi="仿宋" w:eastAsia="仿宋_GB2312" w:cs="宋体"/>
          <w:color w:val="auto"/>
          <w:sz w:val="32"/>
          <w:szCs w:val="32"/>
          <w:highlight w:val="none"/>
        </w:rPr>
        <w:t xml:space="preserve">    </w:t>
      </w:r>
      <w:bookmarkStart w:id="41" w:name="_Toc30538"/>
      <w:r>
        <w:rPr>
          <w:rFonts w:hint="eastAsia" w:ascii="仿宋_GB2312" w:hAnsi="仿宋" w:eastAsia="仿宋_GB2312" w:cs="宋体"/>
          <w:color w:val="auto"/>
          <w:sz w:val="32"/>
          <w:szCs w:val="32"/>
          <w:highlight w:val="none"/>
        </w:rPr>
        <w:t xml:space="preserve"> </w:t>
      </w:r>
      <w:r>
        <w:rPr>
          <w:rFonts w:hint="eastAsia" w:ascii="仿宋_GB2312" w:hAnsi="仿宋" w:eastAsia="仿宋_GB2312" w:cs="宋体"/>
          <w:b/>
          <w:color w:val="auto"/>
          <w:sz w:val="32"/>
          <w:szCs w:val="32"/>
          <w:highlight w:val="none"/>
        </w:rPr>
        <w:t>（2）</w:t>
      </w:r>
      <w:r>
        <w:rPr>
          <w:rFonts w:hint="eastAsia" w:ascii="仿宋_GB2312" w:hAnsi="仿宋" w:eastAsia="仿宋_GB2312" w:cs="楷体"/>
          <w:b/>
          <w:bCs/>
          <w:color w:val="auto"/>
          <w:sz w:val="32"/>
          <w:szCs w:val="32"/>
          <w:highlight w:val="none"/>
        </w:rPr>
        <w:t>评价依据</w:t>
      </w:r>
      <w:bookmarkEnd w:id="41"/>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《中华人民共和国预算法》;</w:t>
      </w:r>
    </w:p>
    <w:p>
      <w:pPr>
        <w:spacing w:line="560" w:lineRule="exact"/>
        <w:ind w:firstLine="640" w:firstLineChars="200"/>
        <w:rPr>
          <w:rFonts w:ascii="仿宋_GB2312" w:hAnsi="仿宋" w:eastAsia="仿宋_GB2312" w:cs="宋体"/>
          <w:b/>
          <w:bCs/>
          <w:color w:val="auto"/>
          <w:sz w:val="32"/>
          <w:szCs w:val="32"/>
          <w:highlight w:val="none"/>
        </w:rPr>
      </w:pPr>
      <w:r>
        <w:rPr>
          <w:rFonts w:hint="eastAsia" w:ascii="仿宋_GB2312" w:hAnsi="仿宋" w:eastAsia="仿宋_GB2312" w:cs="宋体"/>
          <w:color w:val="auto"/>
          <w:sz w:val="32"/>
          <w:szCs w:val="32"/>
          <w:highlight w:val="none"/>
        </w:rPr>
        <w:t>《中共中央 国务院关于全面实施预算绩效管理的意见》(中发[2018] 34号)；</w:t>
      </w:r>
    </w:p>
    <w:p>
      <w:pPr>
        <w:spacing w:line="560" w:lineRule="exact"/>
        <w:ind w:firstLine="555"/>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《湖北省财政厅关于印发全面实施预算绩效管理系列制度的通知》（鄂财绩效发〔2020〕3号）</w:t>
      </w:r>
    </w:p>
    <w:p>
      <w:pPr>
        <w:spacing w:line="560" w:lineRule="exact"/>
        <w:ind w:firstLine="555"/>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通城县财政局《关于开展2022年度预算单位重点绩效评价工作的通知》（隽财发〔2023〕24号）</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项目实施单位项目立项、预算审批及过程文件；评价工作人员取得的其他评价相关资料等。</w:t>
      </w:r>
    </w:p>
    <w:p>
      <w:pPr>
        <w:spacing w:line="560" w:lineRule="exact"/>
        <w:rPr>
          <w:rFonts w:ascii="仿宋_GB2312" w:hAnsi="仿宋" w:eastAsia="仿宋_GB2312" w:cs="楷体"/>
          <w:color w:val="auto"/>
          <w:sz w:val="32"/>
          <w:szCs w:val="32"/>
          <w:highlight w:val="none"/>
        </w:rPr>
      </w:pPr>
      <w:bookmarkStart w:id="42" w:name="_Toc27871"/>
      <w:r>
        <w:rPr>
          <w:rFonts w:hint="eastAsia" w:ascii="仿宋_GB2312" w:hAnsi="仿宋" w:eastAsia="仿宋_GB2312" w:cs="楷体"/>
          <w:b/>
          <w:bCs/>
          <w:color w:val="auto"/>
          <w:sz w:val="32"/>
          <w:szCs w:val="32"/>
          <w:highlight w:val="none"/>
        </w:rPr>
        <w:t xml:space="preserve">    （3）评价指标体系</w:t>
      </w:r>
      <w:bookmarkEnd w:id="42"/>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根据</w:t>
      </w:r>
      <w:bookmarkStart w:id="43" w:name="_Toc27199"/>
      <w:r>
        <w:rPr>
          <w:rFonts w:hint="eastAsia" w:ascii="仿宋_GB2312" w:hAnsi="仿宋" w:eastAsia="仿宋_GB2312" w:cs="宋体"/>
          <w:color w:val="auto"/>
          <w:sz w:val="32"/>
          <w:szCs w:val="32"/>
          <w:highlight w:val="none"/>
        </w:rPr>
        <w:t>《湖北省省级预算项目绩效评价共性指标体系框架》的要求，结合财政资金管理及项目服务经费项目内容及特点，我们按照相关性、重要性、可比性、系统性、经济性及明确性原则，将项目绩效评价指标分为三级及细分评价要点。</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一级指标：设定四个维度，分别为决策、过程、产出和效果。</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二级指标：根据资金项目的特点，对基本指标内容进行细化、分设。</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三级指标：对二级指标进行个性化设置，并确定各指标的标准值或比较值，设定分值和计分标准。</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绩效评价指标体系详见报告其他佐证材料1：《通城经济开发区2022年度项目服务经费项目绩效评价指标体系》。</w:t>
      </w:r>
    </w:p>
    <w:p>
      <w:pPr>
        <w:spacing w:line="560" w:lineRule="exact"/>
        <w:ind w:firstLine="643" w:firstLineChars="200"/>
        <w:rPr>
          <w:rFonts w:ascii="仿宋_GB2312" w:hAnsi="仿宋" w:eastAsia="仿宋_GB2312" w:cs="宋体"/>
          <w:color w:val="auto"/>
          <w:sz w:val="32"/>
          <w:szCs w:val="32"/>
          <w:highlight w:val="none"/>
        </w:rPr>
      </w:pPr>
      <w:r>
        <w:rPr>
          <w:rFonts w:hint="eastAsia" w:ascii="仿宋_GB2312" w:hAnsi="仿宋" w:eastAsia="仿宋_GB2312" w:cs="楷体"/>
          <w:b/>
          <w:color w:val="auto"/>
          <w:sz w:val="32"/>
          <w:szCs w:val="32"/>
          <w:highlight w:val="none"/>
        </w:rPr>
        <w:t>（4）绩效标准</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根据项目特点、评价目的、信息采集、评价环境等客观条件，我们运用下列标准进行评价：</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a）</w:t>
      </w:r>
      <w:bookmarkStart w:id="44" w:name="_Toc11158"/>
      <w:r>
        <w:rPr>
          <w:rFonts w:hint="eastAsia" w:ascii="仿宋_GB2312" w:hAnsi="仿宋" w:eastAsia="仿宋_GB2312" w:cs="宋体"/>
          <w:color w:val="auto"/>
          <w:sz w:val="32"/>
          <w:szCs w:val="32"/>
          <w:highlight w:val="none"/>
        </w:rPr>
        <w:t>计划标准。以实现本项目实施预定的目标、计划、预算、定额等数据作为评价的标准。</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b）历史标准。参照项目实施同类指标的历史数据和工作管理结果制定的评价标准。</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c）行业标准。以行业明确规定的指标范围进行参考标准。</w:t>
      </w:r>
    </w:p>
    <w:p>
      <w:pPr>
        <w:spacing w:line="560" w:lineRule="exact"/>
        <w:ind w:firstLine="643" w:firstLineChars="200"/>
        <w:rPr>
          <w:rFonts w:ascii="仿宋_GB2312" w:hAnsi="仿宋" w:eastAsia="仿宋_GB2312" w:cs="宋体"/>
          <w:b/>
          <w:color w:val="auto"/>
          <w:sz w:val="32"/>
          <w:szCs w:val="32"/>
          <w:highlight w:val="none"/>
        </w:rPr>
      </w:pPr>
      <w:r>
        <w:rPr>
          <w:rFonts w:hint="eastAsia" w:ascii="仿宋_GB2312" w:hAnsi="仿宋" w:eastAsia="仿宋_GB2312" w:cs="宋体"/>
          <w:b/>
          <w:color w:val="auto"/>
          <w:sz w:val="32"/>
          <w:szCs w:val="32"/>
          <w:highlight w:val="none"/>
        </w:rPr>
        <w:t>（5）评价方法</w:t>
      </w:r>
      <w:bookmarkEnd w:id="44"/>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基于项目绩效指标评价内容，在评价过程中我们交叉采用下列方法：</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a）目标比较法。将项目的实施结果情况与预定目标的比较，分析目标实现程度的方法。</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b）成本效益分析法。将投入与产出、效益进行关联性分析的方法。</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c）因素分析法。综合分析影响绩效目标实现、实施效果的内外部因素的方法。</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d）公众评判法。针对部分支出难以直接用量化的指标计量其支出效益的，通过公众调查方式进行评判的方法。</w:t>
      </w:r>
    </w:p>
    <w:p>
      <w:pPr>
        <w:spacing w:line="560" w:lineRule="exact"/>
        <w:ind w:firstLine="643" w:firstLineChars="200"/>
        <w:rPr>
          <w:rFonts w:ascii="仿宋_GB2312" w:hAnsi="仿宋" w:eastAsia="仿宋_GB2312" w:cs="宋体"/>
          <w:b/>
          <w:color w:val="auto"/>
          <w:sz w:val="32"/>
          <w:szCs w:val="32"/>
          <w:highlight w:val="none"/>
        </w:rPr>
      </w:pPr>
      <w:r>
        <w:rPr>
          <w:rFonts w:hint="eastAsia" w:ascii="仿宋_GB2312" w:hAnsi="仿宋" w:eastAsia="仿宋_GB2312" w:cs="宋体"/>
          <w:b/>
          <w:color w:val="auto"/>
          <w:sz w:val="32"/>
          <w:szCs w:val="32"/>
          <w:highlight w:val="none"/>
        </w:rPr>
        <w:t>（6）评价样本</w:t>
      </w:r>
    </w:p>
    <w:p>
      <w:pPr>
        <w:ind w:firstLine="640" w:firstLineChars="200"/>
        <w:rPr>
          <w:rFonts w:ascii="仿宋_GB2312" w:eastAsia="仿宋_GB2312"/>
          <w:color w:val="auto"/>
          <w:highlight w:val="none"/>
        </w:rPr>
      </w:pPr>
      <w:bookmarkStart w:id="45" w:name="_Toc26216"/>
      <w:r>
        <w:rPr>
          <w:rFonts w:hint="eastAsia" w:ascii="仿宋_GB2312" w:hAnsi="仿宋" w:eastAsia="仿宋_GB2312" w:cs="宋体"/>
          <w:color w:val="auto"/>
          <w:sz w:val="32"/>
          <w:szCs w:val="32"/>
          <w:highlight w:val="none"/>
        </w:rPr>
        <w:t>本次评价工作通过查阅项目资料，实地勘查、调查，考核项目实施的产出与效果情况，为项目实施产出与效果指标提供佐证。</w:t>
      </w:r>
    </w:p>
    <w:p>
      <w:pPr>
        <w:spacing w:line="560" w:lineRule="exact"/>
        <w:ind w:firstLine="643" w:firstLineChars="200"/>
        <w:rPr>
          <w:rFonts w:ascii="仿宋_GB2312" w:hAnsi="仿宋" w:eastAsia="仿宋_GB2312" w:cs="楷体"/>
          <w:b/>
          <w:color w:val="auto"/>
          <w:sz w:val="32"/>
          <w:szCs w:val="32"/>
          <w:highlight w:val="none"/>
        </w:rPr>
      </w:pPr>
      <w:r>
        <w:rPr>
          <w:rFonts w:hint="eastAsia" w:ascii="仿宋_GB2312" w:hAnsi="仿宋" w:eastAsia="仿宋_GB2312" w:cs="楷体"/>
          <w:b/>
          <w:color w:val="auto"/>
          <w:sz w:val="32"/>
          <w:szCs w:val="32"/>
          <w:highlight w:val="none"/>
        </w:rPr>
        <w:t>（7）评价结果</w:t>
      </w:r>
      <w:bookmarkEnd w:id="45"/>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a）得分计算。项目绩效评价指标设定基础总分100分，根据项目绩效评价指标体系各指标评价得分，综合统计计分结果。</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b）得分等级。依据《202</w:t>
      </w:r>
      <w:r>
        <w:rPr>
          <w:rFonts w:ascii="仿宋_GB2312" w:hAnsi="仿宋" w:eastAsia="仿宋_GB2312" w:cs="宋体"/>
          <w:color w:val="auto"/>
          <w:sz w:val="32"/>
          <w:szCs w:val="32"/>
          <w:highlight w:val="none"/>
        </w:rPr>
        <w:t>2</w:t>
      </w:r>
      <w:r>
        <w:rPr>
          <w:rFonts w:hint="eastAsia" w:ascii="仿宋_GB2312" w:hAnsi="仿宋" w:eastAsia="仿宋_GB2312" w:cs="宋体"/>
          <w:color w:val="auto"/>
          <w:sz w:val="32"/>
          <w:szCs w:val="32"/>
          <w:highlight w:val="none"/>
        </w:rPr>
        <w:t>年度通城县预算单位重点绩效评价方案》的要求，将评分结果分为如下级别：</w:t>
      </w:r>
    </w:p>
    <w:tbl>
      <w:tblPr>
        <w:tblStyle w:val="14"/>
        <w:tblW w:w="8696" w:type="dxa"/>
        <w:tblInd w:w="93" w:type="dxa"/>
        <w:tblLayout w:type="fixed"/>
        <w:tblCellMar>
          <w:top w:w="0" w:type="dxa"/>
          <w:left w:w="108" w:type="dxa"/>
          <w:bottom w:w="0" w:type="dxa"/>
          <w:right w:w="108" w:type="dxa"/>
        </w:tblCellMar>
      </w:tblPr>
      <w:tblGrid>
        <w:gridCol w:w="4603"/>
        <w:gridCol w:w="4093"/>
      </w:tblGrid>
      <w:tr>
        <w:tblPrEx>
          <w:tblCellMar>
            <w:top w:w="0" w:type="dxa"/>
            <w:left w:w="108" w:type="dxa"/>
            <w:bottom w:w="0" w:type="dxa"/>
            <w:right w:w="108" w:type="dxa"/>
          </w:tblCellMar>
        </w:tblPrEx>
        <w:trPr>
          <w:trHeight w:val="886" w:hRule="atLeast"/>
        </w:trPr>
        <w:tc>
          <w:tcPr>
            <w:tcW w:w="8696" w:type="dxa"/>
            <w:gridSpan w:val="2"/>
            <w:tcBorders>
              <w:top w:val="nil"/>
              <w:left w:val="nil"/>
              <w:bottom w:val="single" w:color="auto" w:sz="4" w:space="0"/>
              <w:right w:val="nil"/>
            </w:tcBorders>
            <w:vAlign w:val="center"/>
          </w:tcPr>
          <w:p>
            <w:pPr>
              <w:widowControl/>
              <w:spacing w:line="560" w:lineRule="exact"/>
              <w:jc w:val="center"/>
              <w:rPr>
                <w:rFonts w:ascii="宋体" w:hAnsi="宋体" w:cs="宋体"/>
                <w:color w:val="auto"/>
                <w:kern w:val="0"/>
                <w:sz w:val="32"/>
                <w:szCs w:val="32"/>
                <w:highlight w:val="none"/>
              </w:rPr>
            </w:pPr>
            <w:r>
              <w:rPr>
                <w:rFonts w:hint="eastAsia" w:ascii="宋体" w:hAnsi="宋体" w:cs="宋体"/>
                <w:color w:val="auto"/>
                <w:kern w:val="0"/>
                <w:sz w:val="32"/>
                <w:szCs w:val="32"/>
                <w:highlight w:val="none"/>
              </w:rPr>
              <w:t>评分结果级别评定对照表</w:t>
            </w:r>
          </w:p>
        </w:tc>
      </w:tr>
      <w:tr>
        <w:tblPrEx>
          <w:tblCellMar>
            <w:top w:w="0" w:type="dxa"/>
            <w:left w:w="108" w:type="dxa"/>
            <w:bottom w:w="0" w:type="dxa"/>
            <w:right w:w="108" w:type="dxa"/>
          </w:tblCellMar>
        </w:tblPrEx>
        <w:trPr>
          <w:trHeight w:val="553" w:hRule="atLeast"/>
        </w:trPr>
        <w:tc>
          <w:tcPr>
            <w:tcW w:w="4603" w:type="dxa"/>
            <w:tcBorders>
              <w:top w:val="nil"/>
              <w:left w:val="single" w:color="auto" w:sz="4" w:space="0"/>
              <w:bottom w:val="single" w:color="auto" w:sz="4" w:space="0"/>
              <w:right w:val="single" w:color="auto" w:sz="4" w:space="0"/>
            </w:tcBorders>
            <w:vAlign w:val="center"/>
          </w:tcPr>
          <w:p>
            <w:pPr>
              <w:widowControl/>
              <w:spacing w:line="560" w:lineRule="exact"/>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评分计分结果</w:t>
            </w:r>
          </w:p>
        </w:tc>
        <w:tc>
          <w:tcPr>
            <w:tcW w:w="4093" w:type="dxa"/>
            <w:tcBorders>
              <w:top w:val="nil"/>
              <w:left w:val="nil"/>
              <w:bottom w:val="single" w:color="auto" w:sz="4" w:space="0"/>
              <w:right w:val="single" w:color="auto" w:sz="4" w:space="0"/>
            </w:tcBorders>
            <w:vAlign w:val="center"/>
          </w:tcPr>
          <w:p>
            <w:pPr>
              <w:widowControl/>
              <w:spacing w:line="560" w:lineRule="exact"/>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评价结果级别</w:t>
            </w:r>
          </w:p>
        </w:tc>
      </w:tr>
      <w:tr>
        <w:tblPrEx>
          <w:tblCellMar>
            <w:top w:w="0" w:type="dxa"/>
            <w:left w:w="108" w:type="dxa"/>
            <w:bottom w:w="0" w:type="dxa"/>
            <w:right w:w="108" w:type="dxa"/>
          </w:tblCellMar>
        </w:tblPrEx>
        <w:trPr>
          <w:trHeight w:val="436" w:hRule="atLeast"/>
        </w:trPr>
        <w:tc>
          <w:tcPr>
            <w:tcW w:w="460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90-100分（含90分）</w:t>
            </w:r>
          </w:p>
        </w:tc>
        <w:tc>
          <w:tcPr>
            <w:tcW w:w="409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优</w:t>
            </w:r>
          </w:p>
        </w:tc>
      </w:tr>
      <w:tr>
        <w:tblPrEx>
          <w:tblCellMar>
            <w:top w:w="0" w:type="dxa"/>
            <w:left w:w="108" w:type="dxa"/>
            <w:bottom w:w="0" w:type="dxa"/>
            <w:right w:w="108" w:type="dxa"/>
          </w:tblCellMar>
        </w:tblPrEx>
        <w:trPr>
          <w:trHeight w:val="421" w:hRule="atLeast"/>
        </w:trPr>
        <w:tc>
          <w:tcPr>
            <w:tcW w:w="460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80-90分（含80分）</w:t>
            </w:r>
          </w:p>
        </w:tc>
        <w:tc>
          <w:tcPr>
            <w:tcW w:w="409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良</w:t>
            </w:r>
          </w:p>
        </w:tc>
      </w:tr>
      <w:tr>
        <w:tblPrEx>
          <w:tblCellMar>
            <w:top w:w="0" w:type="dxa"/>
            <w:left w:w="108" w:type="dxa"/>
            <w:bottom w:w="0" w:type="dxa"/>
            <w:right w:w="108" w:type="dxa"/>
          </w:tblCellMar>
        </w:tblPrEx>
        <w:trPr>
          <w:trHeight w:val="421" w:hRule="atLeast"/>
        </w:trPr>
        <w:tc>
          <w:tcPr>
            <w:tcW w:w="460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60-80分（含60分）</w:t>
            </w:r>
          </w:p>
        </w:tc>
        <w:tc>
          <w:tcPr>
            <w:tcW w:w="409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中</w:t>
            </w:r>
          </w:p>
        </w:tc>
      </w:tr>
      <w:tr>
        <w:tblPrEx>
          <w:tblCellMar>
            <w:top w:w="0" w:type="dxa"/>
            <w:left w:w="108" w:type="dxa"/>
            <w:bottom w:w="0" w:type="dxa"/>
            <w:right w:w="108" w:type="dxa"/>
          </w:tblCellMar>
        </w:tblPrEx>
        <w:trPr>
          <w:trHeight w:val="556" w:hRule="atLeast"/>
        </w:trPr>
        <w:tc>
          <w:tcPr>
            <w:tcW w:w="460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60以下</w:t>
            </w:r>
          </w:p>
        </w:tc>
        <w:tc>
          <w:tcPr>
            <w:tcW w:w="409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差</w:t>
            </w:r>
          </w:p>
        </w:tc>
      </w:tr>
    </w:tbl>
    <w:p>
      <w:pPr>
        <w:spacing w:line="560" w:lineRule="exact"/>
        <w:ind w:firstLine="643" w:firstLineChars="200"/>
        <w:rPr>
          <w:rFonts w:ascii="仿宋_GB2312" w:hAnsi="仿宋" w:eastAsia="仿宋_GB2312" w:cs="楷体"/>
          <w:b/>
          <w:bCs/>
          <w:color w:val="auto"/>
          <w:sz w:val="32"/>
          <w:szCs w:val="32"/>
          <w:highlight w:val="none"/>
        </w:rPr>
      </w:pPr>
      <w:bookmarkStart w:id="46" w:name="_Toc25049"/>
      <w:bookmarkStart w:id="47" w:name="_Toc8270"/>
    </w:p>
    <w:p>
      <w:pPr>
        <w:spacing w:line="560" w:lineRule="exact"/>
        <w:ind w:firstLine="643" w:firstLineChars="200"/>
        <w:outlineLvl w:val="2"/>
        <w:rPr>
          <w:rFonts w:ascii="仿宋_GB2312" w:hAnsi="仿宋" w:eastAsia="仿宋_GB2312" w:cs="楷体"/>
          <w:color w:val="auto"/>
          <w:sz w:val="32"/>
          <w:szCs w:val="32"/>
          <w:highlight w:val="none"/>
        </w:rPr>
      </w:pPr>
      <w:r>
        <w:rPr>
          <w:rFonts w:hint="eastAsia" w:ascii="仿宋_GB2312" w:hAnsi="仿宋" w:eastAsia="仿宋_GB2312" w:cs="楷体"/>
          <w:b/>
          <w:bCs/>
          <w:color w:val="auto"/>
          <w:sz w:val="32"/>
          <w:szCs w:val="32"/>
          <w:highlight w:val="none"/>
        </w:rPr>
        <w:t>6.证据收集方法</w:t>
      </w:r>
      <w:bookmarkEnd w:id="46"/>
      <w:bookmarkEnd w:id="47"/>
    </w:p>
    <w:p>
      <w:pPr>
        <w:spacing w:line="560" w:lineRule="exact"/>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 xml:space="preserve">    本次评价工作的开展，评价工作组对评价证据及佐证材料的收集主要通过案卷研析、实地调研、座谈和问卷调查等四种形式进行。</w:t>
      </w:r>
    </w:p>
    <w:p>
      <w:pPr>
        <w:spacing w:line="560" w:lineRule="exact"/>
        <w:ind w:firstLine="636" w:firstLineChars="198"/>
        <w:rPr>
          <w:rFonts w:ascii="仿宋_GB2312" w:hAnsi="仿宋" w:eastAsia="仿宋_GB2312" w:cs="宋体"/>
          <w:color w:val="auto"/>
          <w:sz w:val="32"/>
          <w:szCs w:val="32"/>
          <w:highlight w:val="none"/>
        </w:rPr>
      </w:pPr>
      <w:r>
        <w:rPr>
          <w:rFonts w:hint="eastAsia" w:ascii="仿宋_GB2312" w:hAnsi="仿宋" w:eastAsia="仿宋_GB2312" w:cs="宋体"/>
          <w:b/>
          <w:bCs/>
          <w:color w:val="auto"/>
          <w:sz w:val="32"/>
          <w:szCs w:val="32"/>
          <w:highlight w:val="none"/>
        </w:rPr>
        <w:t>（1）案卷研析</w:t>
      </w:r>
    </w:p>
    <w:p>
      <w:pPr>
        <w:spacing w:line="560" w:lineRule="exact"/>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 xml:space="preserve">    查阅、整理、研究、分析项目具体实施相关资料，账簿凭证，评价项目立项的合规性、可行性，了解项目资金的申报、审批、拨付、管理与使用情况，项目绩效目标管理等相关信息和佐证材料。</w:t>
      </w:r>
    </w:p>
    <w:p>
      <w:pPr>
        <w:spacing w:line="560" w:lineRule="exact"/>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 xml:space="preserve">   </w:t>
      </w:r>
      <w:r>
        <w:rPr>
          <w:rFonts w:hint="eastAsia" w:ascii="仿宋_GB2312" w:hAnsi="仿宋" w:eastAsia="仿宋_GB2312" w:cs="宋体"/>
          <w:b/>
          <w:bCs/>
          <w:color w:val="auto"/>
          <w:sz w:val="32"/>
          <w:szCs w:val="32"/>
          <w:highlight w:val="none"/>
        </w:rPr>
        <w:t xml:space="preserve"> （2）实地调研与座谈</w:t>
      </w:r>
    </w:p>
    <w:p>
      <w:pPr>
        <w:spacing w:line="560" w:lineRule="exact"/>
        <w:ind w:firstLine="555"/>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勘察项目现场，实地查看项目完成质量与规模等计划实现程度；通过座谈、问询了解项目实施单位关于项目及资金管理工作的陈述和信息反馈，听取意见和建议，为后续评价分析和撰写评价报告奠定基础。</w:t>
      </w:r>
    </w:p>
    <w:p>
      <w:pPr>
        <w:spacing w:line="560" w:lineRule="exact"/>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 xml:space="preserve">  </w:t>
      </w:r>
      <w:r>
        <w:rPr>
          <w:rFonts w:hint="eastAsia" w:ascii="仿宋_GB2312" w:hAnsi="仿宋" w:eastAsia="仿宋_GB2312" w:cs="宋体"/>
          <w:b/>
          <w:bCs/>
          <w:color w:val="auto"/>
          <w:sz w:val="32"/>
          <w:szCs w:val="32"/>
          <w:highlight w:val="none"/>
        </w:rPr>
        <w:t xml:space="preserve">  （3）问卷调查</w:t>
      </w:r>
    </w:p>
    <w:p>
      <w:pPr>
        <w:spacing w:line="560" w:lineRule="exact"/>
        <w:ind w:firstLine="555"/>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对项目实施主要服务对象发放调查问卷，从项目实施政策与项目告知情况、项目实施满意度及问题建议等方面了解项目实施的影响力，以公众评判来考核项目实施效果。</w:t>
      </w:r>
    </w:p>
    <w:bookmarkEnd w:id="43"/>
    <w:p>
      <w:pPr>
        <w:spacing w:line="560" w:lineRule="exact"/>
        <w:ind w:firstLine="570"/>
        <w:outlineLvl w:val="1"/>
        <w:rPr>
          <w:rFonts w:ascii="楷体_GB2312" w:hAnsi="楷体" w:eastAsia="楷体_GB2312"/>
          <w:b/>
          <w:color w:val="auto"/>
          <w:sz w:val="32"/>
          <w:szCs w:val="32"/>
          <w:highlight w:val="none"/>
        </w:rPr>
      </w:pPr>
      <w:bookmarkStart w:id="48" w:name="_Toc1293"/>
      <w:bookmarkStart w:id="49" w:name="_Toc29219"/>
      <w:r>
        <w:rPr>
          <w:rFonts w:hint="eastAsia" w:ascii="楷体_GB2312" w:hAnsi="楷体" w:eastAsia="楷体_GB2312" w:cs="楷体"/>
          <w:b/>
          <w:color w:val="auto"/>
          <w:sz w:val="32"/>
          <w:szCs w:val="32"/>
          <w:highlight w:val="none"/>
        </w:rPr>
        <w:t>（三）绩效指标完成情况分析</w:t>
      </w:r>
      <w:bookmarkEnd w:id="48"/>
      <w:bookmarkEnd w:id="49"/>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根据设定的项目绩效指标评价体系，依照指标评价标准及评分细则，从决策、过程、产出和效果四个维度对项目绩效进行分析评价打分。</w:t>
      </w:r>
    </w:p>
    <w:p>
      <w:pPr>
        <w:spacing w:line="560" w:lineRule="exact"/>
        <w:ind w:firstLine="585"/>
        <w:outlineLvl w:val="2"/>
        <w:rPr>
          <w:rFonts w:ascii="仿宋_GB2312" w:hAnsi="仿宋" w:eastAsia="仿宋_GB2312" w:cs="宋体"/>
          <w:b/>
          <w:bCs/>
          <w:color w:val="auto"/>
          <w:sz w:val="32"/>
          <w:szCs w:val="32"/>
          <w:highlight w:val="none"/>
        </w:rPr>
      </w:pPr>
      <w:bookmarkStart w:id="50" w:name="_Toc505"/>
      <w:bookmarkStart w:id="51" w:name="_Toc21834"/>
      <w:r>
        <w:rPr>
          <w:rFonts w:hint="eastAsia" w:ascii="仿宋_GB2312" w:hAnsi="仿宋" w:eastAsia="仿宋_GB2312" w:cs="楷体"/>
          <w:b/>
          <w:bCs/>
          <w:color w:val="auto"/>
          <w:sz w:val="32"/>
          <w:szCs w:val="32"/>
          <w:highlight w:val="none"/>
        </w:rPr>
        <w:t>1.决策分析</w:t>
      </w:r>
      <w:bookmarkEnd w:id="50"/>
      <w:bookmarkEnd w:id="51"/>
    </w:p>
    <w:p>
      <w:pPr>
        <w:spacing w:line="560" w:lineRule="exact"/>
        <w:ind w:firstLine="562"/>
        <w:rPr>
          <w:rFonts w:ascii="仿宋_GB2312" w:hAnsi="仿宋" w:eastAsia="仿宋_GB2312" w:cs="楷体"/>
          <w:b/>
          <w:color w:val="auto"/>
          <w:sz w:val="32"/>
          <w:szCs w:val="32"/>
          <w:highlight w:val="none"/>
        </w:rPr>
      </w:pPr>
      <w:r>
        <w:rPr>
          <w:rFonts w:hint="eastAsia" w:ascii="仿宋_GB2312" w:hAnsi="仿宋" w:eastAsia="仿宋_GB2312" w:cs="楷体"/>
          <w:b/>
          <w:color w:val="auto"/>
          <w:sz w:val="32"/>
          <w:szCs w:val="32"/>
          <w:highlight w:val="none"/>
        </w:rPr>
        <w:t>（1）项目立项</w:t>
      </w:r>
    </w:p>
    <w:p>
      <w:pPr>
        <w:spacing w:line="560" w:lineRule="exact"/>
        <w:ind w:firstLine="598" w:firstLineChars="186"/>
        <w:rPr>
          <w:rFonts w:ascii="仿宋_GB2312" w:hAnsi="仿宋" w:eastAsia="仿宋_GB2312" w:cs="宋体"/>
          <w:b/>
          <w:color w:val="auto"/>
          <w:sz w:val="32"/>
          <w:szCs w:val="32"/>
          <w:highlight w:val="none"/>
        </w:rPr>
      </w:pPr>
      <w:r>
        <w:rPr>
          <w:rFonts w:hint="eastAsia" w:ascii="仿宋_GB2312" w:hAnsi="仿宋" w:eastAsia="仿宋_GB2312"/>
          <w:b/>
          <w:color w:val="auto"/>
          <w:sz w:val="32"/>
          <w:szCs w:val="32"/>
          <w:highlight w:val="none"/>
        </w:rPr>
        <w:t>a）立项依据充分性</w:t>
      </w:r>
      <w:r>
        <w:rPr>
          <w:rFonts w:hint="eastAsia" w:ascii="仿宋_GB2312" w:hAnsi="仿宋" w:eastAsia="仿宋_GB2312" w:cs="宋体"/>
          <w:b/>
          <w:color w:val="auto"/>
          <w:sz w:val="32"/>
          <w:szCs w:val="32"/>
          <w:highlight w:val="none"/>
        </w:rPr>
        <w:t>（指标标准分值3分）</w:t>
      </w:r>
    </w:p>
    <w:p>
      <w:pPr>
        <w:spacing w:line="560" w:lineRule="exact"/>
        <w:ind w:firstLine="562"/>
        <w:rPr>
          <w:rFonts w:ascii="仿宋_GB2312" w:hAnsi="仿宋" w:eastAsia="仿宋_GB2312" w:cs="宋体"/>
          <w:color w:val="auto"/>
          <w:sz w:val="32"/>
          <w:szCs w:val="32"/>
          <w:highlight w:val="none"/>
        </w:rPr>
      </w:pPr>
      <w:r>
        <w:rPr>
          <w:rFonts w:hint="eastAsia" w:ascii="仿宋_GB2312" w:hAnsi="仿宋" w:eastAsia="仿宋_GB2312" w:cs="宋体"/>
          <w:b/>
          <w:color w:val="auto"/>
          <w:sz w:val="32"/>
          <w:szCs w:val="32"/>
          <w:highlight w:val="none"/>
        </w:rPr>
        <w:t>指标内容：</w:t>
      </w:r>
      <w:r>
        <w:rPr>
          <w:rFonts w:hint="eastAsia" w:ascii="仿宋_GB2312" w:hAnsi="仿宋" w:eastAsia="仿宋_GB2312" w:cs="宋体"/>
          <w:color w:val="auto"/>
          <w:sz w:val="32"/>
          <w:szCs w:val="32"/>
          <w:highlight w:val="none"/>
        </w:rPr>
        <w:t xml:space="preserve">项目立项是否符合法律法规、相关政策、发展规划以及部门职责，用以反映和考核项目立项依据情况。 </w:t>
      </w:r>
    </w:p>
    <w:p>
      <w:pPr>
        <w:spacing w:line="560" w:lineRule="exact"/>
        <w:ind w:firstLine="643" w:firstLineChars="200"/>
        <w:rPr>
          <w:rFonts w:ascii="仿宋_GB2312" w:hAnsi="仿宋" w:eastAsia="仿宋_GB2312"/>
          <w:color w:val="auto"/>
          <w:sz w:val="32"/>
          <w:szCs w:val="32"/>
          <w:highlight w:val="none"/>
        </w:rPr>
      </w:pPr>
      <w:r>
        <w:rPr>
          <w:rFonts w:hint="eastAsia" w:ascii="仿宋_GB2312" w:hAnsi="仿宋" w:eastAsia="仿宋_GB2312" w:cs="宋体"/>
          <w:b/>
          <w:color w:val="auto"/>
          <w:sz w:val="32"/>
          <w:szCs w:val="32"/>
          <w:highlight w:val="none"/>
        </w:rPr>
        <w:t>评价分析：</w:t>
      </w:r>
      <w:r>
        <w:rPr>
          <w:rFonts w:hint="eastAsia" w:ascii="仿宋_GB2312" w:hAnsi="仿宋" w:eastAsia="仿宋_GB2312"/>
          <w:color w:val="auto"/>
          <w:sz w:val="32"/>
          <w:szCs w:val="32"/>
          <w:highlight w:val="none"/>
        </w:rPr>
        <w:t>通城县经济开发区项目服务经费项目包括环保管家服务费、突发环境事件应急预案编制技术服务费、通城经济开发区安全生产技术服务费</w:t>
      </w:r>
      <w:r>
        <w:rPr>
          <w:rFonts w:hint="eastAsia" w:ascii="仿宋_GB2312" w:hAnsi="仿宋" w:eastAsia="仿宋_GB2312"/>
          <w:color w:val="auto"/>
          <w:sz w:val="32"/>
          <w:szCs w:val="32"/>
          <w:highlight w:val="none"/>
          <w:lang w:val="en-US" w:eastAsia="zh-CN"/>
        </w:rPr>
        <w:t>等</w:t>
      </w:r>
      <w:r>
        <w:rPr>
          <w:rFonts w:hint="eastAsia" w:ascii="仿宋_GB2312" w:hAnsi="仿宋" w:eastAsia="仿宋_GB2312"/>
          <w:color w:val="auto"/>
          <w:sz w:val="32"/>
          <w:szCs w:val="32"/>
          <w:highlight w:val="none"/>
        </w:rPr>
        <w:t>三个子项目</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由通城经济</w:t>
      </w:r>
      <w:r>
        <w:rPr>
          <w:rFonts w:hint="eastAsia" w:ascii="仿宋_GB2312" w:hAnsi="仿宋" w:eastAsia="仿宋_GB2312"/>
          <w:color w:val="auto"/>
          <w:sz w:val="32"/>
          <w:szCs w:val="32"/>
          <w:highlight w:val="none"/>
        </w:rPr>
        <w:t>开发区党工委会议议定</w:t>
      </w:r>
      <w:r>
        <w:rPr>
          <w:rFonts w:hint="eastAsia" w:ascii="仿宋_GB2312" w:hAnsi="仿宋" w:eastAsia="仿宋_GB2312"/>
          <w:color w:val="auto"/>
          <w:sz w:val="32"/>
          <w:szCs w:val="32"/>
          <w:highlight w:val="none"/>
          <w:lang w:val="en-US" w:eastAsia="zh-CN"/>
        </w:rPr>
        <w:t>实施</w:t>
      </w:r>
      <w:r>
        <w:rPr>
          <w:rFonts w:hint="eastAsia" w:ascii="仿宋_GB2312" w:hAnsi="仿宋" w:eastAsia="仿宋_GB2312"/>
          <w:color w:val="auto"/>
          <w:sz w:val="32"/>
          <w:szCs w:val="32"/>
          <w:highlight w:val="none"/>
        </w:rPr>
        <w:t>。项目立项符合国家法律法规、国民经济发展规划和政策要求，与部门职责范围相符，属于部门履职所需，属于公共财政支持范围。现场核查未发现同类重复项目。</w:t>
      </w:r>
    </w:p>
    <w:p>
      <w:pPr>
        <w:spacing w:line="560" w:lineRule="exact"/>
        <w:ind w:firstLine="643" w:firstLineChars="200"/>
        <w:rPr>
          <w:rFonts w:ascii="仿宋_GB2312" w:hAnsi="仿宋" w:eastAsia="仿宋_GB2312" w:cs="楷体"/>
          <w:color w:val="auto"/>
          <w:sz w:val="32"/>
          <w:szCs w:val="32"/>
          <w:highlight w:val="none"/>
        </w:rPr>
      </w:pPr>
      <w:r>
        <w:rPr>
          <w:rFonts w:hint="eastAsia" w:ascii="仿宋_GB2312" w:hAnsi="仿宋" w:eastAsia="仿宋_GB2312" w:cs="楷体"/>
          <w:b/>
          <w:color w:val="auto"/>
          <w:sz w:val="32"/>
          <w:szCs w:val="32"/>
          <w:highlight w:val="none"/>
        </w:rPr>
        <w:t>评价得分：</w:t>
      </w:r>
      <w:r>
        <w:rPr>
          <w:rFonts w:hint="eastAsia" w:ascii="仿宋_GB2312" w:hAnsi="仿宋" w:eastAsia="仿宋_GB2312"/>
          <w:color w:val="auto"/>
          <w:sz w:val="32"/>
          <w:szCs w:val="32"/>
          <w:highlight w:val="none"/>
        </w:rPr>
        <w:t>项目立项依据充分，指标评价综合得分为3分。</w:t>
      </w:r>
    </w:p>
    <w:p>
      <w:pPr>
        <w:spacing w:line="560" w:lineRule="exact"/>
        <w:ind w:firstLine="643" w:firstLineChars="200"/>
        <w:rPr>
          <w:rFonts w:ascii="仿宋_GB2312" w:hAnsi="仿宋" w:eastAsia="仿宋_GB2312" w:cs="仿宋"/>
          <w:color w:val="auto"/>
          <w:sz w:val="32"/>
          <w:szCs w:val="32"/>
          <w:highlight w:val="none"/>
        </w:rPr>
      </w:pPr>
      <w:r>
        <w:rPr>
          <w:rFonts w:hint="eastAsia" w:ascii="仿宋_GB2312" w:hAnsi="仿宋" w:eastAsia="仿宋_GB2312"/>
          <w:b/>
          <w:color w:val="auto"/>
          <w:sz w:val="32"/>
          <w:szCs w:val="32"/>
          <w:highlight w:val="none"/>
        </w:rPr>
        <w:t>b）立项程序规范性（</w:t>
      </w:r>
      <w:r>
        <w:rPr>
          <w:rFonts w:hint="eastAsia" w:ascii="仿宋_GB2312" w:hAnsi="仿宋" w:eastAsia="仿宋_GB2312" w:cs="宋体"/>
          <w:b/>
          <w:color w:val="auto"/>
          <w:sz w:val="32"/>
          <w:szCs w:val="32"/>
          <w:highlight w:val="none"/>
        </w:rPr>
        <w:t>指标标准分值3分）</w:t>
      </w:r>
    </w:p>
    <w:p>
      <w:pPr>
        <w:spacing w:line="560" w:lineRule="exact"/>
        <w:ind w:firstLine="643" w:firstLineChars="200"/>
        <w:rPr>
          <w:rFonts w:ascii="仿宋_GB2312" w:hAnsi="仿宋" w:eastAsia="仿宋_GB2312" w:cs="宋体"/>
          <w:color w:val="auto"/>
          <w:sz w:val="32"/>
          <w:szCs w:val="32"/>
          <w:highlight w:val="none"/>
        </w:rPr>
      </w:pPr>
      <w:r>
        <w:rPr>
          <w:rFonts w:hint="eastAsia" w:ascii="仿宋_GB2312" w:hAnsi="仿宋" w:eastAsia="仿宋_GB2312" w:cs="宋体"/>
          <w:b/>
          <w:color w:val="auto"/>
          <w:sz w:val="32"/>
          <w:szCs w:val="32"/>
          <w:highlight w:val="none"/>
        </w:rPr>
        <w:t>指标内容：</w:t>
      </w:r>
      <w:r>
        <w:rPr>
          <w:rFonts w:hint="eastAsia" w:ascii="仿宋_GB2312" w:hAnsi="仿宋" w:eastAsia="仿宋_GB2312" w:cs="宋体"/>
          <w:color w:val="auto"/>
          <w:sz w:val="32"/>
          <w:szCs w:val="32"/>
          <w:highlight w:val="none"/>
        </w:rPr>
        <w:t>项目申请、设立过程是否符合相关要求，用以反映和考核项目立项的规范情况。</w:t>
      </w:r>
    </w:p>
    <w:p>
      <w:pPr>
        <w:spacing w:line="560" w:lineRule="exact"/>
        <w:ind w:firstLine="643" w:firstLineChars="200"/>
        <w:rPr>
          <w:rFonts w:ascii="仿宋_GB2312" w:hAnsi="仿宋" w:eastAsia="仿宋_GB2312"/>
          <w:bCs/>
          <w:color w:val="auto"/>
          <w:sz w:val="32"/>
          <w:szCs w:val="32"/>
          <w:highlight w:val="none"/>
        </w:rPr>
      </w:pPr>
      <w:r>
        <w:rPr>
          <w:rFonts w:hint="eastAsia" w:ascii="仿宋_GB2312" w:hAnsi="仿宋" w:eastAsia="仿宋_GB2312"/>
          <w:b/>
          <w:color w:val="auto"/>
          <w:sz w:val="32"/>
          <w:szCs w:val="32"/>
          <w:highlight w:val="none"/>
        </w:rPr>
        <w:t>指标分析：</w:t>
      </w:r>
      <w:r>
        <w:rPr>
          <w:rFonts w:hint="eastAsia" w:ascii="仿宋_GB2312" w:hAnsi="仿宋" w:eastAsia="仿宋_GB2312"/>
          <w:bCs/>
          <w:color w:val="auto"/>
          <w:sz w:val="32"/>
          <w:szCs w:val="32"/>
          <w:highlight w:val="none"/>
        </w:rPr>
        <w:t>该项目纳入通城经济开发区管理委员会</w:t>
      </w:r>
      <w:r>
        <w:rPr>
          <w:rFonts w:hint="eastAsia" w:ascii="仿宋_GB2312" w:hAnsi="仿宋" w:eastAsia="仿宋_GB2312"/>
          <w:bCs/>
          <w:color w:val="auto"/>
          <w:sz w:val="32"/>
          <w:szCs w:val="32"/>
          <w:highlight w:val="none"/>
          <w:lang w:val="en-US" w:eastAsia="zh-CN"/>
        </w:rPr>
        <w:t>年度</w:t>
      </w:r>
      <w:r>
        <w:rPr>
          <w:rFonts w:hint="eastAsia" w:ascii="仿宋_GB2312" w:hAnsi="仿宋" w:eastAsia="仿宋_GB2312"/>
          <w:bCs/>
          <w:color w:val="auto"/>
          <w:sz w:val="32"/>
          <w:szCs w:val="32"/>
          <w:highlight w:val="none"/>
        </w:rPr>
        <w:t>部门预算，项目设立、审批程序规范。</w:t>
      </w:r>
    </w:p>
    <w:p>
      <w:pPr>
        <w:spacing w:line="560" w:lineRule="exact"/>
        <w:ind w:firstLine="643" w:firstLineChars="200"/>
        <w:rPr>
          <w:rFonts w:ascii="仿宋_GB2312" w:hAnsi="仿宋" w:eastAsia="仿宋_GB2312"/>
          <w:color w:val="auto"/>
          <w:sz w:val="32"/>
          <w:szCs w:val="32"/>
          <w:highlight w:val="none"/>
        </w:rPr>
      </w:pPr>
      <w:r>
        <w:rPr>
          <w:rFonts w:hint="eastAsia" w:ascii="仿宋_GB2312" w:hAnsi="仿宋" w:eastAsia="仿宋_GB2312" w:cs="楷体"/>
          <w:b/>
          <w:color w:val="auto"/>
          <w:sz w:val="32"/>
          <w:szCs w:val="32"/>
          <w:highlight w:val="none"/>
        </w:rPr>
        <w:t>评价得分：</w:t>
      </w:r>
      <w:r>
        <w:rPr>
          <w:rFonts w:hint="eastAsia" w:ascii="仿宋_GB2312" w:hAnsi="仿宋" w:eastAsia="仿宋_GB2312"/>
          <w:color w:val="auto"/>
          <w:sz w:val="32"/>
          <w:szCs w:val="32"/>
          <w:highlight w:val="none"/>
        </w:rPr>
        <w:t>指标评价综合得分为</w:t>
      </w:r>
      <w:r>
        <w:rPr>
          <w:rFonts w:ascii="仿宋_GB2312" w:hAnsi="仿宋" w:eastAsia="仿宋_GB2312"/>
          <w:color w:val="auto"/>
          <w:sz w:val="32"/>
          <w:szCs w:val="32"/>
          <w:highlight w:val="none"/>
        </w:rPr>
        <w:t>3</w:t>
      </w:r>
      <w:r>
        <w:rPr>
          <w:rFonts w:hint="eastAsia" w:ascii="仿宋_GB2312" w:hAnsi="仿宋" w:eastAsia="仿宋_GB2312"/>
          <w:color w:val="auto"/>
          <w:sz w:val="32"/>
          <w:szCs w:val="32"/>
          <w:highlight w:val="none"/>
        </w:rPr>
        <w:t>分。</w:t>
      </w:r>
    </w:p>
    <w:p>
      <w:pPr>
        <w:spacing w:line="560" w:lineRule="exact"/>
        <w:ind w:firstLine="643" w:firstLineChars="200"/>
        <w:rPr>
          <w:rFonts w:ascii="仿宋_GB2312" w:hAnsi="仿宋" w:eastAsia="仿宋_GB2312" w:cs="楷体"/>
          <w:b/>
          <w:color w:val="auto"/>
          <w:sz w:val="32"/>
          <w:szCs w:val="32"/>
          <w:highlight w:val="none"/>
        </w:rPr>
      </w:pPr>
      <w:r>
        <w:rPr>
          <w:rFonts w:hint="eastAsia" w:ascii="仿宋_GB2312" w:hAnsi="仿宋" w:eastAsia="仿宋_GB2312" w:cs="楷体"/>
          <w:b/>
          <w:color w:val="auto"/>
          <w:sz w:val="32"/>
          <w:szCs w:val="32"/>
          <w:highlight w:val="none"/>
        </w:rPr>
        <w:t>（2）绩效目标</w:t>
      </w:r>
    </w:p>
    <w:p>
      <w:pPr>
        <w:spacing w:line="560" w:lineRule="exact"/>
        <w:ind w:firstLine="643" w:firstLineChars="200"/>
        <w:rPr>
          <w:rFonts w:ascii="仿宋_GB2312" w:hAnsi="仿宋" w:eastAsia="仿宋_GB2312" w:cs="仿宋"/>
          <w:color w:val="auto"/>
          <w:sz w:val="32"/>
          <w:szCs w:val="32"/>
          <w:highlight w:val="none"/>
        </w:rPr>
      </w:pPr>
      <w:r>
        <w:rPr>
          <w:rFonts w:hint="eastAsia" w:ascii="仿宋_GB2312" w:hAnsi="仿宋" w:eastAsia="仿宋_GB2312"/>
          <w:b/>
          <w:color w:val="auto"/>
          <w:sz w:val="32"/>
          <w:szCs w:val="32"/>
          <w:highlight w:val="none"/>
        </w:rPr>
        <w:t>a）绩效目标合理性（</w:t>
      </w:r>
      <w:r>
        <w:rPr>
          <w:rFonts w:hint="eastAsia" w:ascii="仿宋_GB2312" w:hAnsi="仿宋" w:eastAsia="仿宋_GB2312" w:cs="宋体"/>
          <w:b/>
          <w:color w:val="auto"/>
          <w:sz w:val="32"/>
          <w:szCs w:val="32"/>
          <w:highlight w:val="none"/>
        </w:rPr>
        <w:t>指标标准分值3分）</w:t>
      </w:r>
    </w:p>
    <w:p>
      <w:pPr>
        <w:spacing w:line="560" w:lineRule="exact"/>
        <w:ind w:firstLine="643" w:firstLineChars="200"/>
        <w:rPr>
          <w:rFonts w:ascii="仿宋_GB2312" w:hAnsi="仿宋" w:eastAsia="仿宋_GB2312" w:cs="宋体"/>
          <w:color w:val="auto"/>
          <w:sz w:val="32"/>
          <w:szCs w:val="32"/>
          <w:highlight w:val="none"/>
        </w:rPr>
      </w:pPr>
      <w:r>
        <w:rPr>
          <w:rFonts w:hint="eastAsia" w:ascii="仿宋_GB2312" w:hAnsi="仿宋" w:eastAsia="仿宋_GB2312" w:cs="宋体"/>
          <w:b/>
          <w:color w:val="auto"/>
          <w:sz w:val="32"/>
          <w:szCs w:val="32"/>
          <w:highlight w:val="none"/>
        </w:rPr>
        <w:t>指标内容：</w:t>
      </w:r>
      <w:r>
        <w:rPr>
          <w:rFonts w:hint="eastAsia" w:ascii="仿宋_GB2312" w:hAnsi="仿宋" w:eastAsia="仿宋_GB2312" w:cs="宋体"/>
          <w:color w:val="auto"/>
          <w:sz w:val="32"/>
          <w:szCs w:val="32"/>
          <w:highlight w:val="none"/>
        </w:rPr>
        <w:t>项目所设定的绩效目标是否依据充分，是否符合客观实际，用以反映和考核项目绩效目标与项目实施的相符情况。</w:t>
      </w:r>
    </w:p>
    <w:p>
      <w:pPr>
        <w:spacing w:line="560" w:lineRule="exact"/>
        <w:ind w:firstLine="643" w:firstLineChars="200"/>
        <w:rPr>
          <w:rFonts w:ascii="仿宋_GB2312" w:hAnsi="仿宋" w:eastAsia="仿宋_GB2312"/>
          <w:bCs/>
          <w:color w:val="auto"/>
          <w:sz w:val="32"/>
          <w:szCs w:val="32"/>
          <w:highlight w:val="none"/>
        </w:rPr>
      </w:pPr>
      <w:r>
        <w:rPr>
          <w:rFonts w:hint="eastAsia" w:ascii="仿宋_GB2312" w:hAnsi="仿宋" w:eastAsia="仿宋_GB2312"/>
          <w:b/>
          <w:color w:val="auto"/>
          <w:sz w:val="32"/>
          <w:szCs w:val="32"/>
          <w:highlight w:val="none"/>
        </w:rPr>
        <w:t>指标分析：</w:t>
      </w:r>
      <w:r>
        <w:rPr>
          <w:rFonts w:hint="eastAsia" w:ascii="仿宋_GB2312" w:hAnsi="仿宋" w:eastAsia="仿宋_GB2312"/>
          <w:bCs/>
          <w:color w:val="auto"/>
          <w:sz w:val="32"/>
          <w:szCs w:val="32"/>
          <w:highlight w:val="none"/>
        </w:rPr>
        <w:t>项目设定有绩效目标，且与实际工作内容具有相关性。项目预期产出效益和效果符合正常业绩水平，与预算资金相匹配。</w:t>
      </w:r>
    </w:p>
    <w:p>
      <w:pPr>
        <w:spacing w:line="560" w:lineRule="exact"/>
        <w:ind w:firstLine="643" w:firstLineChars="200"/>
        <w:rPr>
          <w:rFonts w:ascii="仿宋_GB2312" w:hAnsi="仿宋" w:eastAsia="仿宋_GB2312"/>
          <w:color w:val="auto"/>
          <w:sz w:val="32"/>
          <w:szCs w:val="32"/>
          <w:highlight w:val="none"/>
        </w:rPr>
      </w:pPr>
      <w:r>
        <w:rPr>
          <w:rFonts w:hint="eastAsia" w:ascii="仿宋_GB2312" w:hAnsi="仿宋" w:eastAsia="仿宋_GB2312" w:cs="楷体"/>
          <w:b/>
          <w:color w:val="auto"/>
          <w:sz w:val="32"/>
          <w:szCs w:val="32"/>
          <w:highlight w:val="none"/>
        </w:rPr>
        <w:t>评价得分：</w:t>
      </w:r>
      <w:r>
        <w:rPr>
          <w:rFonts w:hint="eastAsia" w:ascii="仿宋_GB2312" w:hAnsi="仿宋" w:eastAsia="仿宋_GB2312"/>
          <w:color w:val="auto"/>
          <w:sz w:val="32"/>
          <w:szCs w:val="32"/>
          <w:highlight w:val="none"/>
        </w:rPr>
        <w:t>该项指标综合评价得分</w:t>
      </w:r>
      <w:r>
        <w:rPr>
          <w:rFonts w:ascii="仿宋_GB2312" w:hAnsi="仿宋" w:eastAsia="仿宋_GB2312"/>
          <w:color w:val="auto"/>
          <w:sz w:val="32"/>
          <w:szCs w:val="32"/>
          <w:highlight w:val="none"/>
        </w:rPr>
        <w:t>3</w:t>
      </w:r>
      <w:r>
        <w:rPr>
          <w:rFonts w:hint="eastAsia" w:ascii="仿宋_GB2312" w:hAnsi="仿宋" w:eastAsia="仿宋_GB2312"/>
          <w:color w:val="auto"/>
          <w:sz w:val="32"/>
          <w:szCs w:val="32"/>
          <w:highlight w:val="none"/>
        </w:rPr>
        <w:t>分。</w:t>
      </w:r>
    </w:p>
    <w:p>
      <w:pPr>
        <w:spacing w:line="560" w:lineRule="exact"/>
        <w:ind w:firstLine="643" w:firstLineChars="200"/>
        <w:rPr>
          <w:rFonts w:ascii="仿宋_GB2312" w:hAnsi="仿宋" w:eastAsia="仿宋_GB2312" w:cs="仿宋"/>
          <w:color w:val="auto"/>
          <w:sz w:val="32"/>
          <w:szCs w:val="32"/>
          <w:highlight w:val="none"/>
        </w:rPr>
      </w:pPr>
      <w:r>
        <w:rPr>
          <w:rFonts w:hint="eastAsia" w:ascii="仿宋_GB2312" w:hAnsi="仿宋" w:eastAsia="仿宋_GB2312"/>
          <w:b/>
          <w:color w:val="auto"/>
          <w:sz w:val="32"/>
          <w:szCs w:val="32"/>
          <w:highlight w:val="none"/>
        </w:rPr>
        <w:t>b）绩效指标明确性（</w:t>
      </w:r>
      <w:r>
        <w:rPr>
          <w:rFonts w:hint="eastAsia" w:ascii="仿宋_GB2312" w:hAnsi="仿宋" w:eastAsia="仿宋_GB2312" w:cs="宋体"/>
          <w:b/>
          <w:color w:val="auto"/>
          <w:sz w:val="32"/>
          <w:szCs w:val="32"/>
          <w:highlight w:val="none"/>
        </w:rPr>
        <w:t>指标标准分值3分）</w:t>
      </w:r>
    </w:p>
    <w:p>
      <w:pPr>
        <w:spacing w:line="560" w:lineRule="exact"/>
        <w:ind w:firstLine="643" w:firstLineChars="200"/>
        <w:rPr>
          <w:rFonts w:ascii="仿宋_GB2312" w:hAnsi="仿宋" w:eastAsia="仿宋_GB2312" w:cs="楷体"/>
          <w:bCs/>
          <w:color w:val="auto"/>
          <w:sz w:val="32"/>
          <w:szCs w:val="32"/>
          <w:highlight w:val="none"/>
        </w:rPr>
      </w:pPr>
      <w:r>
        <w:rPr>
          <w:rFonts w:hint="eastAsia" w:ascii="仿宋_GB2312" w:hAnsi="仿宋" w:eastAsia="仿宋_GB2312" w:cs="楷体"/>
          <w:b/>
          <w:color w:val="auto"/>
          <w:sz w:val="32"/>
          <w:szCs w:val="32"/>
          <w:highlight w:val="none"/>
        </w:rPr>
        <w:t>指标内容：</w:t>
      </w:r>
      <w:r>
        <w:rPr>
          <w:rFonts w:hint="eastAsia" w:ascii="仿宋_GB2312" w:hAnsi="仿宋" w:eastAsia="仿宋_GB2312" w:cs="楷体"/>
          <w:bCs/>
          <w:color w:val="auto"/>
          <w:sz w:val="32"/>
          <w:szCs w:val="32"/>
          <w:highlight w:val="none"/>
        </w:rPr>
        <w:t>依据绩效目标设定的绩效指标是否清晰、细化、可衡量等，用以反映和考核项目绩效目标的明细化情况。</w:t>
      </w:r>
    </w:p>
    <w:p>
      <w:pPr>
        <w:spacing w:line="560" w:lineRule="exact"/>
        <w:ind w:firstLine="643" w:firstLineChars="200"/>
        <w:rPr>
          <w:rFonts w:ascii="仿宋_GB2312" w:hAnsi="仿宋" w:eastAsia="仿宋_GB2312"/>
          <w:bCs/>
          <w:color w:val="auto"/>
          <w:sz w:val="32"/>
          <w:szCs w:val="32"/>
          <w:highlight w:val="none"/>
        </w:rPr>
      </w:pPr>
      <w:r>
        <w:rPr>
          <w:rFonts w:hint="eastAsia" w:ascii="仿宋_GB2312" w:hAnsi="仿宋" w:eastAsia="仿宋_GB2312"/>
          <w:b/>
          <w:color w:val="auto"/>
          <w:sz w:val="32"/>
          <w:szCs w:val="32"/>
          <w:highlight w:val="none"/>
        </w:rPr>
        <w:t>指标分析：</w:t>
      </w:r>
      <w:r>
        <w:rPr>
          <w:rFonts w:hint="eastAsia" w:ascii="仿宋_GB2312" w:hAnsi="仿宋" w:eastAsia="仿宋_GB2312"/>
          <w:bCs/>
          <w:color w:val="auto"/>
          <w:sz w:val="32"/>
          <w:szCs w:val="32"/>
          <w:highlight w:val="none"/>
        </w:rPr>
        <w:t>项目将总体目标细化分解为具体的绩效指标，指标值清晰、可衡量，与项目目标任务数相对应。</w:t>
      </w:r>
    </w:p>
    <w:p>
      <w:pPr>
        <w:spacing w:line="560" w:lineRule="exact"/>
        <w:ind w:firstLine="643" w:firstLineChars="200"/>
        <w:rPr>
          <w:rFonts w:ascii="仿宋_GB2312" w:hAnsi="仿宋" w:eastAsia="仿宋_GB2312"/>
          <w:color w:val="auto"/>
          <w:sz w:val="32"/>
          <w:szCs w:val="32"/>
          <w:highlight w:val="none"/>
        </w:rPr>
      </w:pPr>
      <w:r>
        <w:rPr>
          <w:rFonts w:hint="eastAsia" w:ascii="仿宋_GB2312" w:hAnsi="仿宋" w:eastAsia="仿宋_GB2312" w:cs="楷体"/>
          <w:b/>
          <w:color w:val="auto"/>
          <w:sz w:val="32"/>
          <w:szCs w:val="32"/>
          <w:highlight w:val="none"/>
        </w:rPr>
        <w:t>评价得分：</w:t>
      </w:r>
      <w:r>
        <w:rPr>
          <w:rFonts w:hint="eastAsia" w:ascii="仿宋_GB2312" w:hAnsi="仿宋" w:eastAsia="仿宋_GB2312"/>
          <w:color w:val="auto"/>
          <w:sz w:val="32"/>
          <w:szCs w:val="32"/>
          <w:highlight w:val="none"/>
        </w:rPr>
        <w:t>该项指标综合评价得分</w:t>
      </w:r>
      <w:r>
        <w:rPr>
          <w:rFonts w:ascii="仿宋_GB2312" w:hAnsi="仿宋" w:eastAsia="仿宋_GB2312"/>
          <w:color w:val="auto"/>
          <w:sz w:val="32"/>
          <w:szCs w:val="32"/>
          <w:highlight w:val="none"/>
        </w:rPr>
        <w:t>3</w:t>
      </w:r>
      <w:r>
        <w:rPr>
          <w:rFonts w:hint="eastAsia" w:ascii="仿宋_GB2312" w:hAnsi="仿宋" w:eastAsia="仿宋_GB2312"/>
          <w:color w:val="auto"/>
          <w:sz w:val="32"/>
          <w:szCs w:val="32"/>
          <w:highlight w:val="none"/>
        </w:rPr>
        <w:t>分。</w:t>
      </w:r>
    </w:p>
    <w:p>
      <w:pPr>
        <w:spacing w:line="560" w:lineRule="exact"/>
        <w:ind w:firstLine="562"/>
        <w:rPr>
          <w:rFonts w:ascii="仿宋_GB2312" w:hAnsi="仿宋" w:eastAsia="仿宋_GB2312" w:cs="楷体"/>
          <w:b/>
          <w:color w:val="auto"/>
          <w:sz w:val="32"/>
          <w:szCs w:val="32"/>
          <w:highlight w:val="none"/>
        </w:rPr>
      </w:pPr>
      <w:r>
        <w:rPr>
          <w:rFonts w:hint="eastAsia" w:ascii="仿宋_GB2312" w:hAnsi="仿宋" w:eastAsia="仿宋_GB2312" w:cs="楷体"/>
          <w:b/>
          <w:color w:val="auto"/>
          <w:sz w:val="32"/>
          <w:szCs w:val="32"/>
          <w:highlight w:val="none"/>
        </w:rPr>
        <w:t>（3）资金投入</w:t>
      </w:r>
    </w:p>
    <w:p>
      <w:pPr>
        <w:spacing w:line="560" w:lineRule="exact"/>
        <w:ind w:firstLine="643" w:firstLineChars="200"/>
        <w:rPr>
          <w:rFonts w:ascii="仿宋_GB2312" w:hAnsi="仿宋" w:eastAsia="仿宋_GB2312" w:cs="仿宋"/>
          <w:color w:val="auto"/>
          <w:sz w:val="32"/>
          <w:szCs w:val="32"/>
          <w:highlight w:val="none"/>
        </w:rPr>
      </w:pPr>
      <w:r>
        <w:rPr>
          <w:rFonts w:hint="eastAsia" w:ascii="仿宋_GB2312" w:hAnsi="仿宋" w:eastAsia="仿宋_GB2312"/>
          <w:b/>
          <w:color w:val="auto"/>
          <w:sz w:val="32"/>
          <w:szCs w:val="32"/>
          <w:highlight w:val="none"/>
        </w:rPr>
        <w:t>a）预算编制科学性（</w:t>
      </w:r>
      <w:r>
        <w:rPr>
          <w:rFonts w:hint="eastAsia" w:ascii="仿宋_GB2312" w:hAnsi="仿宋" w:eastAsia="仿宋_GB2312" w:cs="宋体"/>
          <w:b/>
          <w:color w:val="auto"/>
          <w:sz w:val="32"/>
          <w:szCs w:val="32"/>
          <w:highlight w:val="none"/>
        </w:rPr>
        <w:t>指标标准分值3分）</w:t>
      </w:r>
    </w:p>
    <w:p>
      <w:pPr>
        <w:spacing w:line="560" w:lineRule="exact"/>
        <w:ind w:firstLine="643" w:firstLineChars="200"/>
        <w:rPr>
          <w:rFonts w:ascii="仿宋_GB2312" w:hAnsi="仿宋" w:eastAsia="仿宋_GB2312" w:cs="宋体"/>
          <w:color w:val="auto"/>
          <w:sz w:val="32"/>
          <w:szCs w:val="32"/>
          <w:highlight w:val="none"/>
        </w:rPr>
      </w:pPr>
      <w:r>
        <w:rPr>
          <w:rFonts w:hint="eastAsia" w:ascii="仿宋_GB2312" w:hAnsi="仿宋" w:eastAsia="仿宋_GB2312" w:cs="宋体"/>
          <w:b/>
          <w:color w:val="auto"/>
          <w:sz w:val="32"/>
          <w:szCs w:val="32"/>
          <w:highlight w:val="none"/>
        </w:rPr>
        <w:t>指标内容：</w:t>
      </w:r>
      <w:r>
        <w:rPr>
          <w:rFonts w:hint="eastAsia" w:ascii="仿宋_GB2312" w:hAnsi="仿宋" w:eastAsia="仿宋_GB2312" w:cs="宋体"/>
          <w:color w:val="auto"/>
          <w:sz w:val="32"/>
          <w:szCs w:val="32"/>
          <w:highlight w:val="none"/>
        </w:rPr>
        <w:t>项目预算编制是否经过科学论证、有明确标准，预算内容与项目内容是否匹配。预算额度测算依据是否充分，是否按照标准编制。用以反映和考核项目预算编制的科学性、合理性情况。</w:t>
      </w:r>
    </w:p>
    <w:p>
      <w:pPr>
        <w:spacing w:line="560" w:lineRule="exact"/>
        <w:ind w:firstLine="643" w:firstLineChars="200"/>
        <w:rPr>
          <w:rFonts w:ascii="仿宋_GB2312" w:hAnsi="仿宋" w:eastAsia="仿宋_GB2312"/>
          <w:bCs/>
          <w:color w:val="auto"/>
          <w:sz w:val="32"/>
          <w:szCs w:val="32"/>
          <w:highlight w:val="none"/>
        </w:rPr>
      </w:pPr>
      <w:r>
        <w:rPr>
          <w:rFonts w:hint="eastAsia" w:ascii="仿宋_GB2312" w:hAnsi="仿宋" w:eastAsia="仿宋_GB2312"/>
          <w:b/>
          <w:color w:val="auto"/>
          <w:sz w:val="32"/>
          <w:szCs w:val="32"/>
          <w:highlight w:val="none"/>
        </w:rPr>
        <w:t>指标分析：</w:t>
      </w:r>
      <w:r>
        <w:rPr>
          <w:rFonts w:hint="eastAsia" w:ascii="仿宋_GB2312" w:hAnsi="仿宋" w:eastAsia="仿宋_GB2312"/>
          <w:bCs/>
          <w:color w:val="auto"/>
          <w:sz w:val="32"/>
          <w:szCs w:val="32"/>
          <w:highlight w:val="none"/>
        </w:rPr>
        <w:t>该项目属于常年性</w:t>
      </w:r>
      <w:r>
        <w:rPr>
          <w:rFonts w:hint="eastAsia" w:ascii="仿宋_GB2312" w:hAnsi="仿宋" w:eastAsia="仿宋_GB2312"/>
          <w:bCs/>
          <w:color w:val="auto"/>
          <w:sz w:val="32"/>
          <w:szCs w:val="32"/>
          <w:highlight w:val="none"/>
          <w:lang w:val="en-US" w:eastAsia="zh-CN"/>
        </w:rPr>
        <w:t>经费</w:t>
      </w:r>
      <w:r>
        <w:rPr>
          <w:rFonts w:hint="eastAsia" w:ascii="仿宋_GB2312" w:hAnsi="仿宋" w:eastAsia="仿宋_GB2312"/>
          <w:bCs/>
          <w:color w:val="auto"/>
          <w:sz w:val="32"/>
          <w:szCs w:val="32"/>
          <w:highlight w:val="none"/>
        </w:rPr>
        <w:t>项目，纳入通城经济开发区管理委员会</w:t>
      </w:r>
      <w:r>
        <w:rPr>
          <w:rFonts w:hint="eastAsia" w:ascii="仿宋_GB2312" w:hAnsi="仿宋" w:eastAsia="仿宋_GB2312"/>
          <w:bCs/>
          <w:color w:val="auto"/>
          <w:sz w:val="32"/>
          <w:szCs w:val="32"/>
          <w:highlight w:val="none"/>
          <w:lang w:val="en-US" w:eastAsia="zh-CN"/>
        </w:rPr>
        <w:t>年度</w:t>
      </w:r>
      <w:r>
        <w:rPr>
          <w:rFonts w:hint="eastAsia" w:ascii="仿宋_GB2312" w:hAnsi="仿宋" w:eastAsia="仿宋_GB2312"/>
          <w:bCs/>
          <w:color w:val="auto"/>
          <w:sz w:val="32"/>
          <w:szCs w:val="32"/>
          <w:highlight w:val="none"/>
        </w:rPr>
        <w:t>部门预算。</w:t>
      </w:r>
      <w:r>
        <w:rPr>
          <w:rFonts w:hint="eastAsia" w:ascii="仿宋_GB2312" w:hAnsi="仿宋" w:eastAsia="仿宋_GB2312" w:cs="宋体"/>
          <w:color w:val="auto"/>
          <w:sz w:val="32"/>
          <w:szCs w:val="32"/>
          <w:highlight w:val="none"/>
        </w:rPr>
        <w:t>预算内容与项目内容</w:t>
      </w:r>
      <w:r>
        <w:rPr>
          <w:rFonts w:hint="eastAsia" w:ascii="仿宋_GB2312" w:hAnsi="仿宋" w:eastAsia="仿宋_GB2312" w:cs="宋体"/>
          <w:color w:val="auto"/>
          <w:sz w:val="32"/>
          <w:szCs w:val="32"/>
          <w:highlight w:val="none"/>
          <w:lang w:val="en-US" w:eastAsia="zh-CN"/>
        </w:rPr>
        <w:t>相</w:t>
      </w:r>
      <w:r>
        <w:rPr>
          <w:rFonts w:hint="eastAsia" w:ascii="仿宋_GB2312" w:hAnsi="仿宋" w:eastAsia="仿宋_GB2312" w:cs="宋体"/>
          <w:color w:val="auto"/>
          <w:sz w:val="32"/>
          <w:szCs w:val="32"/>
          <w:highlight w:val="none"/>
        </w:rPr>
        <w:t>匹配</w:t>
      </w:r>
      <w:r>
        <w:rPr>
          <w:rFonts w:hint="eastAsia" w:ascii="仿宋_GB2312" w:hAnsi="仿宋" w:eastAsia="仿宋_GB2312" w:cs="宋体"/>
          <w:color w:val="auto"/>
          <w:sz w:val="32"/>
          <w:szCs w:val="32"/>
          <w:highlight w:val="none"/>
          <w:lang w:eastAsia="zh-CN"/>
        </w:rPr>
        <w:t>，</w:t>
      </w:r>
      <w:r>
        <w:rPr>
          <w:rFonts w:hint="eastAsia" w:ascii="仿宋_GB2312" w:hAnsi="仿宋" w:eastAsia="仿宋_GB2312" w:cs="宋体"/>
          <w:color w:val="auto"/>
          <w:sz w:val="32"/>
          <w:szCs w:val="32"/>
          <w:highlight w:val="none"/>
        </w:rPr>
        <w:t>预算额度测算依据充分</w:t>
      </w:r>
      <w:r>
        <w:rPr>
          <w:rFonts w:hint="eastAsia" w:ascii="仿宋_GB2312" w:hAnsi="仿宋" w:eastAsia="仿宋_GB2312" w:cs="宋体"/>
          <w:color w:val="auto"/>
          <w:sz w:val="32"/>
          <w:szCs w:val="32"/>
          <w:highlight w:val="none"/>
          <w:lang w:eastAsia="zh-CN"/>
        </w:rPr>
        <w:t>。</w:t>
      </w:r>
      <w:r>
        <w:rPr>
          <w:rFonts w:hint="eastAsia" w:ascii="仿宋_GB2312" w:hAnsi="仿宋" w:eastAsia="仿宋_GB2312"/>
          <w:color w:val="auto"/>
          <w:sz w:val="32"/>
          <w:szCs w:val="32"/>
          <w:highlight w:val="none"/>
          <w:lang w:val="en-US" w:eastAsia="zh-CN"/>
        </w:rPr>
        <w:t>但</w:t>
      </w:r>
      <w:r>
        <w:rPr>
          <w:rFonts w:hint="eastAsia" w:ascii="仿宋_GB2312" w:hAnsi="仿宋" w:eastAsia="仿宋_GB2312"/>
          <w:color w:val="auto"/>
          <w:sz w:val="32"/>
          <w:szCs w:val="32"/>
          <w:highlight w:val="none"/>
        </w:rPr>
        <w:t>经查阅报账资料，</w:t>
      </w:r>
      <w:r>
        <w:rPr>
          <w:rFonts w:hint="eastAsia" w:ascii="仿宋_GB2312" w:hAnsi="仿宋" w:eastAsia="仿宋_GB2312"/>
          <w:color w:val="auto"/>
          <w:sz w:val="32"/>
          <w:szCs w:val="32"/>
          <w:highlight w:val="none"/>
          <w:lang w:val="en-US" w:eastAsia="zh-CN"/>
        </w:rPr>
        <w:t>3个子项目合同金额合计54万元，其中，</w:t>
      </w:r>
      <w:r>
        <w:rPr>
          <w:rFonts w:hint="eastAsia" w:ascii="仿宋_GB2312" w:hAnsi="仿宋" w:eastAsia="仿宋_GB2312"/>
          <w:color w:val="auto"/>
          <w:sz w:val="32"/>
          <w:szCs w:val="32"/>
          <w:highlight w:val="none"/>
        </w:rPr>
        <w:t>环保管家服务费19万元，突发环境事件应急预案编制技术服务费15万元，通城经济开发区安全生产技术服务费20万元。</w:t>
      </w:r>
    </w:p>
    <w:p>
      <w:pPr>
        <w:spacing w:line="560" w:lineRule="exact"/>
        <w:ind w:firstLine="643" w:firstLineChars="200"/>
        <w:rPr>
          <w:rFonts w:ascii="仿宋_GB2312" w:hAnsi="仿宋" w:eastAsia="仿宋_GB2312"/>
          <w:color w:val="auto"/>
          <w:sz w:val="32"/>
          <w:szCs w:val="32"/>
          <w:highlight w:val="none"/>
        </w:rPr>
      </w:pPr>
      <w:r>
        <w:rPr>
          <w:rFonts w:hint="eastAsia" w:ascii="仿宋_GB2312" w:hAnsi="仿宋" w:eastAsia="仿宋_GB2312" w:cs="楷体"/>
          <w:b/>
          <w:color w:val="auto"/>
          <w:sz w:val="32"/>
          <w:szCs w:val="32"/>
          <w:highlight w:val="none"/>
        </w:rPr>
        <w:t>评价得分：</w:t>
      </w:r>
      <w:r>
        <w:rPr>
          <w:rFonts w:hint="eastAsia" w:ascii="仿宋_GB2312" w:hAnsi="仿宋" w:eastAsia="仿宋_GB2312"/>
          <w:color w:val="auto"/>
          <w:sz w:val="32"/>
          <w:szCs w:val="32"/>
          <w:highlight w:val="none"/>
          <w:lang w:val="en-US" w:eastAsia="zh-CN"/>
        </w:rPr>
        <w:t>项目的预算额度与实际工作任务需求不一致，</w:t>
      </w:r>
      <w:r>
        <w:rPr>
          <w:rFonts w:hint="eastAsia" w:ascii="仿宋_GB2312" w:hAnsi="仿宋" w:eastAsia="仿宋_GB2312"/>
          <w:color w:val="auto"/>
          <w:sz w:val="32"/>
          <w:szCs w:val="32"/>
          <w:highlight w:val="none"/>
        </w:rPr>
        <w:t>扣</w:t>
      </w:r>
      <w:r>
        <w:rPr>
          <w:rFonts w:hint="eastAsia" w:ascii="仿宋_GB2312" w:hAnsi="仿宋" w:eastAsia="仿宋_GB2312"/>
          <w:color w:val="auto"/>
          <w:sz w:val="32"/>
          <w:szCs w:val="32"/>
          <w:highlight w:val="none"/>
          <w:lang w:val="en-US" w:eastAsia="zh-CN"/>
        </w:rPr>
        <w:t>1</w:t>
      </w:r>
      <w:r>
        <w:rPr>
          <w:rFonts w:hint="eastAsia" w:ascii="仿宋_GB2312" w:hAnsi="仿宋" w:eastAsia="仿宋_GB2312"/>
          <w:color w:val="auto"/>
          <w:sz w:val="32"/>
          <w:szCs w:val="32"/>
          <w:highlight w:val="none"/>
        </w:rPr>
        <w:t>分</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该项指标得分</w:t>
      </w:r>
      <w:r>
        <w:rPr>
          <w:rFonts w:hint="eastAsia" w:ascii="仿宋_GB2312" w:hAnsi="仿宋" w:eastAsia="仿宋_GB2312"/>
          <w:color w:val="auto"/>
          <w:sz w:val="32"/>
          <w:szCs w:val="32"/>
          <w:highlight w:val="none"/>
          <w:lang w:val="en-US" w:eastAsia="zh-CN"/>
        </w:rPr>
        <w:t>为2</w:t>
      </w:r>
      <w:r>
        <w:rPr>
          <w:rFonts w:hint="eastAsia" w:ascii="仿宋_GB2312" w:hAnsi="仿宋" w:eastAsia="仿宋_GB2312"/>
          <w:color w:val="auto"/>
          <w:sz w:val="32"/>
          <w:szCs w:val="32"/>
          <w:highlight w:val="none"/>
        </w:rPr>
        <w:t>分。</w:t>
      </w:r>
    </w:p>
    <w:p>
      <w:pPr>
        <w:spacing w:line="560" w:lineRule="exact"/>
        <w:ind w:firstLine="643" w:firstLineChars="200"/>
        <w:rPr>
          <w:rFonts w:ascii="仿宋_GB2312" w:hAnsi="仿宋" w:eastAsia="仿宋_GB2312" w:cs="仿宋"/>
          <w:color w:val="auto"/>
          <w:sz w:val="32"/>
          <w:szCs w:val="32"/>
          <w:highlight w:val="none"/>
        </w:rPr>
      </w:pPr>
      <w:r>
        <w:rPr>
          <w:rFonts w:hint="eastAsia" w:ascii="仿宋_GB2312" w:hAnsi="仿宋" w:eastAsia="仿宋_GB2312"/>
          <w:b/>
          <w:color w:val="auto"/>
          <w:sz w:val="32"/>
          <w:szCs w:val="32"/>
          <w:highlight w:val="none"/>
        </w:rPr>
        <w:t>b）资金分配合理性（</w:t>
      </w:r>
      <w:r>
        <w:rPr>
          <w:rFonts w:hint="eastAsia" w:ascii="仿宋_GB2312" w:hAnsi="仿宋" w:eastAsia="仿宋_GB2312" w:cs="宋体"/>
          <w:b/>
          <w:color w:val="auto"/>
          <w:sz w:val="32"/>
          <w:szCs w:val="32"/>
          <w:highlight w:val="none"/>
        </w:rPr>
        <w:t>指标标准分值2分）</w:t>
      </w:r>
    </w:p>
    <w:p>
      <w:pPr>
        <w:spacing w:line="560" w:lineRule="exact"/>
        <w:ind w:firstLine="643" w:firstLineChars="200"/>
        <w:rPr>
          <w:rFonts w:ascii="仿宋_GB2312" w:hAnsi="仿宋" w:eastAsia="仿宋_GB2312" w:cs="宋体"/>
          <w:color w:val="auto"/>
          <w:sz w:val="32"/>
          <w:szCs w:val="32"/>
          <w:highlight w:val="none"/>
        </w:rPr>
      </w:pPr>
      <w:r>
        <w:rPr>
          <w:rFonts w:hint="eastAsia" w:ascii="仿宋_GB2312" w:hAnsi="仿宋" w:eastAsia="仿宋_GB2312" w:cs="宋体"/>
          <w:b/>
          <w:color w:val="auto"/>
          <w:sz w:val="32"/>
          <w:szCs w:val="32"/>
          <w:highlight w:val="none"/>
        </w:rPr>
        <w:t>指标内容：</w:t>
      </w:r>
      <w:r>
        <w:rPr>
          <w:rFonts w:hint="eastAsia" w:ascii="仿宋_GB2312" w:hAnsi="仿宋" w:eastAsia="仿宋_GB2312" w:cs="宋体"/>
          <w:color w:val="auto"/>
          <w:sz w:val="32"/>
          <w:szCs w:val="32"/>
          <w:highlight w:val="none"/>
        </w:rPr>
        <w:t>项目预算资金分配是否有测算依据，资金分配额度是否合理，与项目单位是否相适应。用以反映和考核项目预算资金分配的科学性、合理性情况。</w:t>
      </w:r>
    </w:p>
    <w:p>
      <w:pPr>
        <w:spacing w:line="560" w:lineRule="exact"/>
        <w:ind w:firstLine="643" w:firstLineChars="200"/>
        <w:rPr>
          <w:rFonts w:ascii="仿宋_GB2312" w:hAnsi="仿宋" w:eastAsia="仿宋_GB2312"/>
          <w:b/>
          <w:color w:val="auto"/>
          <w:sz w:val="32"/>
          <w:szCs w:val="32"/>
          <w:highlight w:val="none"/>
        </w:rPr>
      </w:pPr>
      <w:r>
        <w:rPr>
          <w:rFonts w:hint="eastAsia" w:ascii="仿宋_GB2312" w:hAnsi="仿宋" w:eastAsia="仿宋_GB2312"/>
          <w:b/>
          <w:color w:val="auto"/>
          <w:sz w:val="32"/>
          <w:szCs w:val="32"/>
          <w:highlight w:val="none"/>
        </w:rPr>
        <w:t>指标分析：</w:t>
      </w:r>
      <w:r>
        <w:rPr>
          <w:rFonts w:hint="eastAsia" w:ascii="仿宋_GB2312" w:hAnsi="仿宋" w:eastAsia="仿宋_GB2312"/>
          <w:bCs/>
          <w:color w:val="auto"/>
          <w:sz w:val="32"/>
          <w:szCs w:val="32"/>
          <w:highlight w:val="none"/>
        </w:rPr>
        <w:t>该项目属于常年性项目，纳入通城经济开发区管理委员会部门整体支出的项目支出预算。项目预算资金分配依据充分。</w:t>
      </w:r>
      <w:r>
        <w:rPr>
          <w:rFonts w:hint="eastAsia" w:ascii="仿宋_GB2312" w:hAnsi="仿宋" w:eastAsia="仿宋_GB2312"/>
          <w:bCs/>
          <w:color w:val="auto"/>
          <w:sz w:val="32"/>
          <w:szCs w:val="32"/>
          <w:highlight w:val="none"/>
          <w:lang w:val="en-US" w:eastAsia="zh-CN"/>
        </w:rPr>
        <w:t>但</w:t>
      </w:r>
      <w:r>
        <w:rPr>
          <w:rFonts w:hint="eastAsia" w:ascii="仿宋_GB2312" w:hAnsi="仿宋" w:eastAsia="仿宋_GB2312"/>
          <w:bCs/>
          <w:color w:val="auto"/>
          <w:sz w:val="32"/>
          <w:szCs w:val="32"/>
          <w:highlight w:val="none"/>
        </w:rPr>
        <w:t>资金分配额度不合理，</w:t>
      </w:r>
      <w:r>
        <w:rPr>
          <w:rFonts w:hint="eastAsia" w:ascii="仿宋_GB2312" w:hAnsi="仿宋" w:eastAsia="仿宋_GB2312"/>
          <w:color w:val="auto"/>
          <w:sz w:val="32"/>
          <w:szCs w:val="32"/>
          <w:highlight w:val="none"/>
          <w:lang w:val="en-US" w:eastAsia="zh-CN"/>
        </w:rPr>
        <w:t>预算确定的资金量45万元，与实际工作任务需求的54万元不一致</w:t>
      </w:r>
      <w:r>
        <w:rPr>
          <w:rFonts w:hint="eastAsia" w:ascii="仿宋_GB2312" w:hAnsi="仿宋" w:eastAsia="仿宋_GB2312"/>
          <w:bCs/>
          <w:color w:val="auto"/>
          <w:sz w:val="32"/>
          <w:szCs w:val="32"/>
          <w:highlight w:val="none"/>
          <w:lang w:val="en-US" w:eastAsia="zh-CN"/>
        </w:rPr>
        <w:t>。</w:t>
      </w:r>
    </w:p>
    <w:p>
      <w:pPr>
        <w:spacing w:line="560" w:lineRule="exact"/>
        <w:ind w:firstLine="643" w:firstLineChars="200"/>
        <w:rPr>
          <w:rFonts w:ascii="仿宋_GB2312" w:hAnsi="仿宋" w:eastAsia="仿宋_GB2312"/>
          <w:color w:val="auto"/>
          <w:sz w:val="32"/>
          <w:szCs w:val="32"/>
          <w:highlight w:val="none"/>
        </w:rPr>
      </w:pPr>
      <w:r>
        <w:rPr>
          <w:rFonts w:hint="eastAsia" w:ascii="仿宋_GB2312" w:hAnsi="仿宋" w:eastAsia="仿宋_GB2312" w:cs="楷体"/>
          <w:b/>
          <w:color w:val="auto"/>
          <w:sz w:val="32"/>
          <w:szCs w:val="32"/>
          <w:highlight w:val="none"/>
        </w:rPr>
        <w:t>评价得分：</w:t>
      </w:r>
      <w:r>
        <w:rPr>
          <w:rFonts w:hint="eastAsia" w:ascii="仿宋_GB2312" w:hAnsi="仿宋" w:eastAsia="仿宋_GB2312"/>
          <w:bCs/>
          <w:color w:val="auto"/>
          <w:sz w:val="32"/>
          <w:szCs w:val="32"/>
          <w:highlight w:val="none"/>
        </w:rPr>
        <w:t>资金分配额度不合理，与项目实际存在差异，扣1分</w:t>
      </w:r>
      <w:r>
        <w:rPr>
          <w:rFonts w:hint="eastAsia" w:ascii="仿宋_GB2312" w:hAnsi="仿宋" w:eastAsia="仿宋_GB2312"/>
          <w:bCs/>
          <w:color w:val="auto"/>
          <w:sz w:val="32"/>
          <w:szCs w:val="32"/>
          <w:highlight w:val="none"/>
          <w:lang w:eastAsia="zh-CN"/>
        </w:rPr>
        <w:t>，</w:t>
      </w:r>
      <w:r>
        <w:rPr>
          <w:rFonts w:hint="eastAsia" w:ascii="仿宋_GB2312" w:hAnsi="仿宋" w:eastAsia="仿宋_GB2312"/>
          <w:color w:val="auto"/>
          <w:sz w:val="32"/>
          <w:szCs w:val="32"/>
          <w:highlight w:val="none"/>
        </w:rPr>
        <w:t>该项指标综合得分</w:t>
      </w:r>
      <w:r>
        <w:rPr>
          <w:rFonts w:ascii="仿宋_GB2312" w:hAnsi="仿宋" w:eastAsia="仿宋_GB2312"/>
          <w:color w:val="auto"/>
          <w:sz w:val="32"/>
          <w:szCs w:val="32"/>
          <w:highlight w:val="none"/>
        </w:rPr>
        <w:t>1</w:t>
      </w:r>
      <w:r>
        <w:rPr>
          <w:rFonts w:hint="eastAsia" w:ascii="仿宋_GB2312" w:hAnsi="仿宋" w:eastAsia="仿宋_GB2312"/>
          <w:color w:val="auto"/>
          <w:sz w:val="32"/>
          <w:szCs w:val="32"/>
          <w:highlight w:val="none"/>
        </w:rPr>
        <w:t>分。</w:t>
      </w:r>
    </w:p>
    <w:p>
      <w:pPr>
        <w:spacing w:line="560" w:lineRule="exact"/>
        <w:ind w:firstLine="643" w:firstLineChars="200"/>
        <w:outlineLvl w:val="2"/>
        <w:rPr>
          <w:rFonts w:ascii="仿宋_GB2312" w:hAnsi="仿宋" w:eastAsia="仿宋_GB2312"/>
          <w:color w:val="auto"/>
          <w:sz w:val="32"/>
          <w:szCs w:val="32"/>
          <w:highlight w:val="none"/>
        </w:rPr>
      </w:pPr>
      <w:bookmarkStart w:id="52" w:name="_Toc18689"/>
      <w:bookmarkStart w:id="53" w:name="_Toc31307"/>
      <w:bookmarkStart w:id="54" w:name="_Toc13517"/>
      <w:r>
        <w:rPr>
          <w:rFonts w:hint="eastAsia" w:ascii="仿宋_GB2312" w:hAnsi="仿宋" w:eastAsia="仿宋_GB2312"/>
          <w:b/>
          <w:color w:val="auto"/>
          <w:sz w:val="32"/>
          <w:szCs w:val="32"/>
          <w:highlight w:val="none"/>
        </w:rPr>
        <w:t>2.</w:t>
      </w:r>
      <w:r>
        <w:rPr>
          <w:rFonts w:hint="eastAsia" w:ascii="仿宋_GB2312" w:hAnsi="仿宋" w:eastAsia="仿宋_GB2312" w:cs="楷体"/>
          <w:b/>
          <w:color w:val="auto"/>
          <w:sz w:val="32"/>
          <w:szCs w:val="32"/>
          <w:highlight w:val="none"/>
        </w:rPr>
        <w:t>过程</w:t>
      </w:r>
      <w:bookmarkEnd w:id="52"/>
      <w:r>
        <w:rPr>
          <w:rFonts w:hint="eastAsia" w:ascii="仿宋_GB2312" w:hAnsi="仿宋" w:eastAsia="仿宋_GB2312" w:cs="楷体"/>
          <w:b/>
          <w:color w:val="auto"/>
          <w:sz w:val="32"/>
          <w:szCs w:val="32"/>
          <w:highlight w:val="none"/>
        </w:rPr>
        <w:t>分析</w:t>
      </w:r>
      <w:bookmarkEnd w:id="53"/>
      <w:bookmarkEnd w:id="54"/>
    </w:p>
    <w:p>
      <w:pPr>
        <w:spacing w:line="560" w:lineRule="exact"/>
        <w:ind w:firstLine="636" w:firstLineChars="198"/>
        <w:rPr>
          <w:rFonts w:ascii="仿宋_GB2312" w:hAnsi="仿宋" w:eastAsia="仿宋_GB2312"/>
          <w:color w:val="auto"/>
          <w:sz w:val="32"/>
          <w:szCs w:val="32"/>
          <w:highlight w:val="none"/>
        </w:rPr>
      </w:pPr>
      <w:r>
        <w:rPr>
          <w:rFonts w:hint="eastAsia" w:ascii="仿宋_GB2312" w:hAnsi="仿宋" w:eastAsia="仿宋_GB2312"/>
          <w:b/>
          <w:color w:val="auto"/>
          <w:sz w:val="32"/>
          <w:szCs w:val="32"/>
          <w:highlight w:val="none"/>
        </w:rPr>
        <w:t>（1）</w:t>
      </w:r>
      <w:r>
        <w:rPr>
          <w:rFonts w:hint="eastAsia" w:ascii="仿宋_GB2312" w:hAnsi="仿宋" w:eastAsia="仿宋_GB2312" w:cs="楷体"/>
          <w:b/>
          <w:bCs/>
          <w:color w:val="auto"/>
          <w:sz w:val="32"/>
          <w:szCs w:val="32"/>
          <w:highlight w:val="none"/>
        </w:rPr>
        <w:t>资金管理</w:t>
      </w:r>
    </w:p>
    <w:p>
      <w:pPr>
        <w:spacing w:line="560" w:lineRule="exact"/>
        <w:rPr>
          <w:rFonts w:ascii="仿宋_GB2312" w:hAnsi="仿宋" w:eastAsia="仿宋_GB2312"/>
          <w:b/>
          <w:color w:val="auto"/>
          <w:sz w:val="32"/>
          <w:szCs w:val="32"/>
          <w:highlight w:val="none"/>
        </w:rPr>
      </w:pPr>
      <w:r>
        <w:rPr>
          <w:rFonts w:hint="eastAsia" w:ascii="仿宋_GB2312" w:hAnsi="仿宋" w:eastAsia="仿宋_GB2312"/>
          <w:color w:val="auto"/>
          <w:sz w:val="32"/>
          <w:szCs w:val="32"/>
          <w:highlight w:val="none"/>
        </w:rPr>
        <w:t xml:space="preserve">    </w:t>
      </w:r>
      <w:r>
        <w:rPr>
          <w:rFonts w:hint="eastAsia" w:ascii="仿宋_GB2312" w:hAnsi="仿宋" w:eastAsia="仿宋_GB2312"/>
          <w:b/>
          <w:color w:val="auto"/>
          <w:sz w:val="32"/>
          <w:szCs w:val="32"/>
          <w:highlight w:val="none"/>
        </w:rPr>
        <w:t>a）资金到位率 （标准分值</w:t>
      </w:r>
      <w:r>
        <w:rPr>
          <w:rFonts w:ascii="仿宋_GB2312" w:hAnsi="仿宋" w:eastAsia="仿宋_GB2312"/>
          <w:b/>
          <w:color w:val="auto"/>
          <w:sz w:val="32"/>
          <w:szCs w:val="32"/>
          <w:highlight w:val="none"/>
        </w:rPr>
        <w:t>3</w:t>
      </w:r>
      <w:r>
        <w:rPr>
          <w:rFonts w:hint="eastAsia" w:ascii="仿宋_GB2312" w:hAnsi="仿宋" w:eastAsia="仿宋_GB2312"/>
          <w:b/>
          <w:color w:val="auto"/>
          <w:sz w:val="32"/>
          <w:szCs w:val="32"/>
          <w:highlight w:val="none"/>
        </w:rPr>
        <w:t>分）</w:t>
      </w:r>
    </w:p>
    <w:p>
      <w:pPr>
        <w:spacing w:line="560" w:lineRule="exact"/>
        <w:ind w:firstLine="320" w:firstLineChars="1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 xml:space="preserve">  </w:t>
      </w:r>
      <w:r>
        <w:rPr>
          <w:rFonts w:hint="eastAsia" w:ascii="仿宋_GB2312" w:hAnsi="仿宋" w:eastAsia="仿宋_GB2312" w:cs="宋体"/>
          <w:b/>
          <w:color w:val="auto"/>
          <w:sz w:val="32"/>
          <w:szCs w:val="32"/>
          <w:highlight w:val="none"/>
        </w:rPr>
        <w:t>指标内容：</w:t>
      </w:r>
      <w:r>
        <w:rPr>
          <w:rFonts w:hint="eastAsia" w:ascii="仿宋_GB2312" w:hAnsi="仿宋" w:eastAsia="仿宋_GB2312" w:cs="宋体"/>
          <w:color w:val="auto"/>
          <w:sz w:val="32"/>
          <w:szCs w:val="32"/>
          <w:highlight w:val="none"/>
        </w:rPr>
        <w:t>实际到位资金与预算资金的比率，用以反映和考核资金落实情况对项目实施的总体保障程度。</w:t>
      </w:r>
    </w:p>
    <w:p>
      <w:pPr>
        <w:spacing w:line="560" w:lineRule="exact"/>
        <w:ind w:firstLine="643" w:firstLineChars="200"/>
        <w:rPr>
          <w:rFonts w:ascii="仿宋_GB2312" w:hAnsi="仿宋" w:eastAsia="仿宋_GB2312"/>
          <w:bCs/>
          <w:color w:val="auto"/>
          <w:sz w:val="32"/>
          <w:szCs w:val="32"/>
          <w:highlight w:val="none"/>
        </w:rPr>
      </w:pPr>
      <w:r>
        <w:rPr>
          <w:rFonts w:hint="eastAsia" w:ascii="仿宋_GB2312" w:hAnsi="仿宋" w:eastAsia="仿宋_GB2312"/>
          <w:b/>
          <w:color w:val="auto"/>
          <w:sz w:val="32"/>
          <w:szCs w:val="32"/>
          <w:highlight w:val="none"/>
        </w:rPr>
        <w:t>评价分析：</w:t>
      </w:r>
      <w:r>
        <w:rPr>
          <w:rFonts w:hint="eastAsia" w:ascii="仿宋_GB2312" w:hAnsi="仿宋" w:eastAsia="仿宋_GB2312" w:cs="宋体"/>
          <w:color w:val="auto"/>
          <w:sz w:val="32"/>
          <w:szCs w:val="32"/>
          <w:highlight w:val="none"/>
        </w:rPr>
        <w:t>该项目预算资金45万元，实际到位资金45万元，资金到位率=45/45*100%=100%。</w:t>
      </w:r>
    </w:p>
    <w:p>
      <w:pPr>
        <w:spacing w:line="560" w:lineRule="exact"/>
        <w:ind w:firstLine="643" w:firstLineChars="200"/>
        <w:rPr>
          <w:rFonts w:ascii="仿宋_GB2312" w:hAnsi="仿宋" w:eastAsia="仿宋_GB2312" w:cs="楷体"/>
          <w:bCs/>
          <w:color w:val="auto"/>
          <w:sz w:val="32"/>
          <w:szCs w:val="32"/>
          <w:highlight w:val="none"/>
        </w:rPr>
      </w:pPr>
      <w:r>
        <w:rPr>
          <w:rFonts w:hint="eastAsia" w:ascii="仿宋_GB2312" w:hAnsi="仿宋" w:eastAsia="仿宋_GB2312" w:cs="楷体"/>
          <w:b/>
          <w:color w:val="auto"/>
          <w:sz w:val="32"/>
          <w:szCs w:val="32"/>
          <w:highlight w:val="none"/>
        </w:rPr>
        <w:t>评价得分：</w:t>
      </w:r>
      <w:r>
        <w:rPr>
          <w:rFonts w:hint="eastAsia" w:ascii="仿宋_GB2312" w:hAnsi="仿宋" w:eastAsia="仿宋_GB2312" w:cs="楷体"/>
          <w:bCs/>
          <w:color w:val="auto"/>
          <w:sz w:val="32"/>
          <w:szCs w:val="32"/>
          <w:highlight w:val="none"/>
        </w:rPr>
        <w:t>该项指标得分</w:t>
      </w:r>
      <w:r>
        <w:rPr>
          <w:rFonts w:hint="eastAsia" w:ascii="仿宋_GB2312" w:hAnsi="仿宋" w:eastAsia="仿宋_GB2312" w:cs="楷体"/>
          <w:bCs/>
          <w:color w:val="auto"/>
          <w:sz w:val="32"/>
          <w:szCs w:val="32"/>
          <w:highlight w:val="none"/>
          <w:lang w:val="en-US" w:eastAsia="zh-CN"/>
        </w:rPr>
        <w:t>为满分</w:t>
      </w:r>
      <w:r>
        <w:rPr>
          <w:rFonts w:ascii="仿宋_GB2312" w:hAnsi="仿宋" w:eastAsia="仿宋_GB2312" w:cs="楷体"/>
          <w:bCs/>
          <w:color w:val="auto"/>
          <w:sz w:val="32"/>
          <w:szCs w:val="32"/>
          <w:highlight w:val="none"/>
        </w:rPr>
        <w:t>3</w:t>
      </w:r>
      <w:r>
        <w:rPr>
          <w:rFonts w:hint="eastAsia" w:ascii="仿宋_GB2312" w:hAnsi="仿宋" w:eastAsia="仿宋_GB2312" w:cs="楷体"/>
          <w:bCs/>
          <w:color w:val="auto"/>
          <w:sz w:val="32"/>
          <w:szCs w:val="32"/>
          <w:highlight w:val="none"/>
        </w:rPr>
        <w:t>分。</w:t>
      </w:r>
    </w:p>
    <w:p>
      <w:pPr>
        <w:spacing w:line="560" w:lineRule="exact"/>
        <w:rPr>
          <w:rFonts w:ascii="仿宋_GB2312" w:hAnsi="仿宋" w:eastAsia="仿宋_GB2312"/>
          <w:b/>
          <w:color w:val="auto"/>
          <w:sz w:val="32"/>
          <w:szCs w:val="32"/>
          <w:highlight w:val="none"/>
        </w:rPr>
      </w:pPr>
      <w:r>
        <w:rPr>
          <w:rFonts w:hint="eastAsia" w:ascii="仿宋_GB2312" w:hAnsi="仿宋" w:eastAsia="仿宋_GB2312"/>
          <w:color w:val="auto"/>
          <w:sz w:val="32"/>
          <w:szCs w:val="32"/>
          <w:highlight w:val="none"/>
        </w:rPr>
        <w:t xml:space="preserve">    </w:t>
      </w:r>
      <w:r>
        <w:rPr>
          <w:rFonts w:hint="eastAsia" w:ascii="仿宋_GB2312" w:hAnsi="仿宋" w:eastAsia="仿宋_GB2312"/>
          <w:b/>
          <w:color w:val="auto"/>
          <w:sz w:val="32"/>
          <w:szCs w:val="32"/>
          <w:highlight w:val="none"/>
        </w:rPr>
        <w:t>b）预算执行率（标准分值</w:t>
      </w:r>
      <w:r>
        <w:rPr>
          <w:rFonts w:ascii="仿宋_GB2312" w:hAnsi="仿宋" w:eastAsia="仿宋_GB2312"/>
          <w:b/>
          <w:color w:val="auto"/>
          <w:sz w:val="32"/>
          <w:szCs w:val="32"/>
          <w:highlight w:val="none"/>
        </w:rPr>
        <w:t>4</w:t>
      </w:r>
      <w:r>
        <w:rPr>
          <w:rFonts w:hint="eastAsia" w:ascii="仿宋_GB2312" w:hAnsi="仿宋" w:eastAsia="仿宋_GB2312"/>
          <w:b/>
          <w:color w:val="auto"/>
          <w:sz w:val="32"/>
          <w:szCs w:val="32"/>
          <w:highlight w:val="none"/>
        </w:rPr>
        <w:t>分）</w:t>
      </w:r>
    </w:p>
    <w:p>
      <w:pPr>
        <w:spacing w:line="560" w:lineRule="exact"/>
        <w:ind w:firstLine="480"/>
        <w:rPr>
          <w:rFonts w:ascii="仿宋_GB2312" w:hAnsi="仿宋" w:eastAsia="仿宋_GB2312" w:cs="宋体"/>
          <w:color w:val="auto"/>
          <w:sz w:val="32"/>
          <w:szCs w:val="32"/>
          <w:highlight w:val="none"/>
        </w:rPr>
      </w:pPr>
      <w:r>
        <w:rPr>
          <w:rFonts w:hint="eastAsia" w:ascii="仿宋_GB2312" w:hAnsi="仿宋" w:eastAsia="仿宋_GB2312" w:cs="宋体"/>
          <w:b/>
          <w:color w:val="auto"/>
          <w:sz w:val="32"/>
          <w:szCs w:val="32"/>
          <w:highlight w:val="none"/>
        </w:rPr>
        <w:t>指标内容：</w:t>
      </w:r>
      <w:r>
        <w:rPr>
          <w:rFonts w:hint="eastAsia" w:ascii="仿宋_GB2312" w:hAnsi="仿宋" w:eastAsia="仿宋_GB2312" w:cs="宋体"/>
          <w:color w:val="auto"/>
          <w:sz w:val="32"/>
          <w:szCs w:val="32"/>
          <w:highlight w:val="none"/>
        </w:rPr>
        <w:t>项目预算资金是否按照计划执行，用以反映或考核项目预算执行情况。</w:t>
      </w:r>
    </w:p>
    <w:p>
      <w:pPr>
        <w:pStyle w:val="35"/>
        <w:ind w:firstLine="643"/>
        <w:rPr>
          <w:rFonts w:ascii="仿宋_GB2312" w:hAnsi="仿宋" w:eastAsia="仿宋_GB2312"/>
          <w:bCs/>
          <w:color w:val="auto"/>
          <w:sz w:val="32"/>
          <w:szCs w:val="32"/>
          <w:highlight w:val="none"/>
        </w:rPr>
      </w:pPr>
      <w:r>
        <w:rPr>
          <w:rFonts w:hint="eastAsia" w:ascii="仿宋_GB2312" w:hAnsi="仿宋" w:eastAsia="仿宋_GB2312"/>
          <w:b/>
          <w:color w:val="auto"/>
          <w:sz w:val="32"/>
          <w:szCs w:val="32"/>
          <w:highlight w:val="none"/>
        </w:rPr>
        <w:t>评价分析：</w:t>
      </w:r>
      <w:r>
        <w:rPr>
          <w:rFonts w:hint="eastAsia" w:ascii="仿宋_GB2312" w:hAnsi="仿宋" w:eastAsia="仿宋_GB2312"/>
          <w:bCs/>
          <w:color w:val="auto"/>
          <w:sz w:val="32"/>
          <w:szCs w:val="32"/>
          <w:highlight w:val="none"/>
        </w:rPr>
        <w:t>项目实际到位资金为45万元，2022年实际支出44万元，预算执行率</w:t>
      </w:r>
      <w:r>
        <w:rPr>
          <w:rFonts w:hint="eastAsia" w:ascii="仿宋_GB2312" w:hAnsi="仿宋" w:eastAsia="仿宋_GB2312"/>
          <w:bCs/>
          <w:color w:val="auto"/>
          <w:sz w:val="32"/>
          <w:szCs w:val="32"/>
          <w:highlight w:val="none"/>
          <w:lang w:eastAsia="zh-CN"/>
        </w:rPr>
        <w:t>：</w:t>
      </w:r>
      <w:r>
        <w:rPr>
          <w:rFonts w:hint="eastAsia" w:ascii="仿宋_GB2312" w:hAnsi="仿宋" w:eastAsia="仿宋_GB2312"/>
          <w:bCs/>
          <w:color w:val="auto"/>
          <w:sz w:val="32"/>
          <w:szCs w:val="32"/>
          <w:highlight w:val="none"/>
        </w:rPr>
        <w:t>44/45*100%=97.78%。</w:t>
      </w:r>
    </w:p>
    <w:p>
      <w:pPr>
        <w:pStyle w:val="35"/>
        <w:ind w:firstLine="643"/>
        <w:rPr>
          <w:rFonts w:ascii="仿宋_GB2312" w:hAnsi="仿宋" w:eastAsia="仿宋_GB2312"/>
          <w:color w:val="auto"/>
          <w:sz w:val="32"/>
          <w:szCs w:val="32"/>
          <w:highlight w:val="none"/>
        </w:rPr>
      </w:pPr>
      <w:r>
        <w:rPr>
          <w:rFonts w:hint="eastAsia" w:ascii="仿宋_GB2312" w:hAnsi="仿宋" w:eastAsia="仿宋_GB2312" w:cs="楷体"/>
          <w:b/>
          <w:color w:val="auto"/>
          <w:sz w:val="32"/>
          <w:szCs w:val="32"/>
          <w:highlight w:val="none"/>
        </w:rPr>
        <w:t>评价得分：</w:t>
      </w:r>
      <w:r>
        <w:rPr>
          <w:rFonts w:hint="eastAsia" w:ascii="仿宋_GB2312" w:hAnsi="仿宋" w:eastAsia="仿宋_GB2312"/>
          <w:color w:val="auto"/>
          <w:sz w:val="32"/>
          <w:szCs w:val="32"/>
          <w:highlight w:val="none"/>
        </w:rPr>
        <w:t>该项指标综合得分</w:t>
      </w:r>
      <w:r>
        <w:rPr>
          <w:rFonts w:hint="eastAsia" w:ascii="仿宋_GB2312" w:hAnsi="仿宋" w:eastAsia="仿宋_GB2312"/>
          <w:color w:val="auto"/>
          <w:sz w:val="32"/>
          <w:szCs w:val="32"/>
          <w:highlight w:val="none"/>
          <w:lang w:val="en-US" w:eastAsia="zh-CN"/>
        </w:rPr>
        <w:t>为</w:t>
      </w:r>
      <w:r>
        <w:rPr>
          <w:rFonts w:hint="eastAsia" w:ascii="仿宋_GB2312" w:hAnsi="仿宋" w:eastAsia="仿宋_GB2312"/>
          <w:color w:val="auto"/>
          <w:sz w:val="32"/>
          <w:szCs w:val="32"/>
          <w:highlight w:val="none"/>
        </w:rPr>
        <w:t>4</w:t>
      </w:r>
      <w:r>
        <w:rPr>
          <w:rFonts w:ascii="仿宋_GB2312" w:hAnsi="仿宋" w:eastAsia="仿宋_GB2312"/>
          <w:color w:val="auto"/>
          <w:sz w:val="32"/>
          <w:szCs w:val="32"/>
          <w:highlight w:val="none"/>
        </w:rPr>
        <w:t>*</w:t>
      </w:r>
      <w:r>
        <w:rPr>
          <w:rFonts w:hint="eastAsia" w:ascii="仿宋_GB2312" w:hAnsi="仿宋" w:eastAsia="仿宋_GB2312"/>
          <w:bCs/>
          <w:color w:val="auto"/>
          <w:sz w:val="32"/>
          <w:szCs w:val="32"/>
          <w:highlight w:val="none"/>
        </w:rPr>
        <w:t>97.78%</w:t>
      </w:r>
      <w:r>
        <w:rPr>
          <w:rFonts w:hint="eastAsia" w:ascii="仿宋_GB2312" w:hAnsi="仿宋" w:eastAsia="仿宋_GB2312"/>
          <w:bCs/>
          <w:color w:val="auto"/>
          <w:sz w:val="32"/>
          <w:szCs w:val="32"/>
          <w:highlight w:val="none"/>
          <w:lang w:val="en-US" w:eastAsia="zh-CN"/>
        </w:rPr>
        <w:t>=</w:t>
      </w:r>
      <w:r>
        <w:rPr>
          <w:rFonts w:ascii="仿宋_GB2312" w:hAnsi="仿宋" w:eastAsia="仿宋_GB2312"/>
          <w:color w:val="auto"/>
          <w:sz w:val="32"/>
          <w:szCs w:val="32"/>
          <w:highlight w:val="none"/>
        </w:rPr>
        <w:t>3.91</w:t>
      </w:r>
      <w:r>
        <w:rPr>
          <w:rFonts w:hint="eastAsia" w:ascii="仿宋_GB2312" w:hAnsi="仿宋" w:eastAsia="仿宋_GB2312"/>
          <w:color w:val="auto"/>
          <w:sz w:val="32"/>
          <w:szCs w:val="32"/>
          <w:highlight w:val="none"/>
        </w:rPr>
        <w:t>分。</w:t>
      </w:r>
    </w:p>
    <w:p>
      <w:pPr>
        <w:spacing w:line="560" w:lineRule="exact"/>
        <w:ind w:firstLine="560"/>
        <w:rPr>
          <w:rFonts w:ascii="仿宋_GB2312" w:hAnsi="仿宋" w:eastAsia="仿宋_GB2312"/>
          <w:b/>
          <w:color w:val="auto"/>
          <w:sz w:val="32"/>
          <w:szCs w:val="32"/>
          <w:highlight w:val="none"/>
        </w:rPr>
      </w:pPr>
      <w:r>
        <w:rPr>
          <w:rFonts w:hint="eastAsia" w:ascii="仿宋_GB2312" w:hAnsi="仿宋" w:eastAsia="仿宋_GB2312"/>
          <w:b/>
          <w:color w:val="auto"/>
          <w:sz w:val="32"/>
          <w:szCs w:val="32"/>
          <w:highlight w:val="none"/>
        </w:rPr>
        <w:t>c）资金使用合规性（标准分值</w:t>
      </w:r>
      <w:r>
        <w:rPr>
          <w:rFonts w:ascii="仿宋_GB2312" w:hAnsi="仿宋" w:eastAsia="仿宋_GB2312"/>
          <w:b/>
          <w:color w:val="auto"/>
          <w:sz w:val="32"/>
          <w:szCs w:val="32"/>
          <w:highlight w:val="none"/>
        </w:rPr>
        <w:t>6</w:t>
      </w:r>
      <w:r>
        <w:rPr>
          <w:rFonts w:hint="eastAsia" w:ascii="仿宋_GB2312" w:hAnsi="仿宋" w:eastAsia="仿宋_GB2312"/>
          <w:b/>
          <w:color w:val="auto"/>
          <w:sz w:val="32"/>
          <w:szCs w:val="32"/>
          <w:highlight w:val="none"/>
        </w:rPr>
        <w:t>分）</w:t>
      </w:r>
    </w:p>
    <w:p>
      <w:pPr>
        <w:spacing w:line="560" w:lineRule="exact"/>
        <w:ind w:firstLine="643" w:firstLineChars="200"/>
        <w:rPr>
          <w:rFonts w:ascii="仿宋_GB2312" w:hAnsi="仿宋" w:eastAsia="仿宋_GB2312" w:cs="宋体"/>
          <w:color w:val="auto"/>
          <w:sz w:val="32"/>
          <w:szCs w:val="32"/>
          <w:highlight w:val="none"/>
        </w:rPr>
      </w:pPr>
      <w:r>
        <w:rPr>
          <w:rFonts w:hint="eastAsia" w:ascii="仿宋_GB2312" w:hAnsi="仿宋" w:eastAsia="仿宋_GB2312"/>
          <w:b/>
          <w:color w:val="auto"/>
          <w:sz w:val="32"/>
          <w:szCs w:val="32"/>
          <w:highlight w:val="none"/>
        </w:rPr>
        <w:t>指标内容：</w:t>
      </w:r>
      <w:r>
        <w:rPr>
          <w:rFonts w:hint="eastAsia" w:ascii="仿宋_GB2312" w:hAnsi="仿宋" w:eastAsia="仿宋_GB2312"/>
          <w:color w:val="auto"/>
          <w:sz w:val="32"/>
          <w:szCs w:val="32"/>
          <w:highlight w:val="none"/>
        </w:rPr>
        <w:t>项目资金使用是否符合相关的财务管理制度规定，用以反映和考核项目资金的规范运行情况。</w:t>
      </w:r>
    </w:p>
    <w:p>
      <w:pPr>
        <w:ind w:firstLine="643" w:firstLineChars="200"/>
        <w:rPr>
          <w:rFonts w:ascii="仿宋_GB2312" w:hAnsi="仿宋" w:eastAsia="仿宋_GB2312"/>
          <w:bCs/>
          <w:color w:val="auto"/>
          <w:sz w:val="32"/>
          <w:szCs w:val="32"/>
          <w:highlight w:val="none"/>
        </w:rPr>
      </w:pPr>
      <w:r>
        <w:rPr>
          <w:rFonts w:hint="eastAsia" w:ascii="仿宋_GB2312" w:hAnsi="仿宋" w:eastAsia="仿宋_GB2312"/>
          <w:b/>
          <w:color w:val="auto"/>
          <w:sz w:val="32"/>
          <w:szCs w:val="32"/>
          <w:highlight w:val="none"/>
        </w:rPr>
        <w:t>评价分析：</w:t>
      </w:r>
      <w:r>
        <w:rPr>
          <w:rFonts w:hint="eastAsia" w:ascii="仿宋_GB2312" w:hAnsi="仿宋" w:eastAsia="仿宋_GB2312"/>
          <w:bCs/>
          <w:color w:val="auto"/>
          <w:sz w:val="32"/>
          <w:szCs w:val="32"/>
          <w:highlight w:val="none"/>
        </w:rPr>
        <w:t>资金使用符合国家财经法规和财务管理制度的规定。资金拨付有完整的审批手续，资金用途符合预算批复的用途，未发现存在截留、挤占、挪用、虚列支出等情况。</w:t>
      </w:r>
    </w:p>
    <w:p>
      <w:pPr>
        <w:ind w:firstLine="643" w:firstLineChars="200"/>
        <w:rPr>
          <w:rFonts w:ascii="仿宋_GB2312" w:hAnsi="仿宋" w:eastAsia="仿宋_GB2312"/>
          <w:color w:val="auto"/>
          <w:sz w:val="32"/>
          <w:szCs w:val="32"/>
          <w:highlight w:val="none"/>
        </w:rPr>
      </w:pPr>
      <w:r>
        <w:rPr>
          <w:rFonts w:hint="eastAsia" w:ascii="仿宋_GB2312" w:hAnsi="仿宋" w:eastAsia="仿宋_GB2312"/>
          <w:b/>
          <w:color w:val="auto"/>
          <w:sz w:val="32"/>
          <w:szCs w:val="32"/>
          <w:highlight w:val="none"/>
        </w:rPr>
        <w:t>评价得分：</w:t>
      </w:r>
      <w:r>
        <w:rPr>
          <w:rFonts w:hint="eastAsia" w:ascii="仿宋_GB2312" w:hAnsi="仿宋" w:eastAsia="仿宋_GB2312"/>
          <w:color w:val="auto"/>
          <w:sz w:val="32"/>
          <w:szCs w:val="32"/>
          <w:highlight w:val="none"/>
        </w:rPr>
        <w:t>该项指标综合得分</w:t>
      </w:r>
      <w:r>
        <w:rPr>
          <w:rFonts w:ascii="仿宋_GB2312" w:hAnsi="仿宋" w:eastAsia="仿宋_GB2312"/>
          <w:color w:val="auto"/>
          <w:sz w:val="32"/>
          <w:szCs w:val="32"/>
          <w:highlight w:val="none"/>
        </w:rPr>
        <w:t>6</w:t>
      </w:r>
      <w:r>
        <w:rPr>
          <w:rFonts w:hint="eastAsia" w:ascii="仿宋_GB2312" w:hAnsi="仿宋" w:eastAsia="仿宋_GB2312"/>
          <w:color w:val="auto"/>
          <w:sz w:val="32"/>
          <w:szCs w:val="32"/>
          <w:highlight w:val="none"/>
        </w:rPr>
        <w:t>分。</w:t>
      </w:r>
    </w:p>
    <w:p>
      <w:pPr>
        <w:spacing w:line="560" w:lineRule="exact"/>
        <w:ind w:firstLine="643" w:firstLineChars="200"/>
        <w:rPr>
          <w:rFonts w:ascii="仿宋_GB2312" w:hAnsi="仿宋" w:eastAsia="仿宋_GB2312" w:cs="楷体"/>
          <w:b/>
          <w:color w:val="auto"/>
          <w:sz w:val="32"/>
          <w:szCs w:val="32"/>
          <w:highlight w:val="none"/>
        </w:rPr>
      </w:pPr>
      <w:r>
        <w:rPr>
          <w:rFonts w:hint="eastAsia" w:ascii="仿宋_GB2312" w:hAnsi="仿宋" w:eastAsia="仿宋_GB2312" w:cs="楷体"/>
          <w:b/>
          <w:color w:val="auto"/>
          <w:sz w:val="32"/>
          <w:szCs w:val="32"/>
          <w:highlight w:val="none"/>
        </w:rPr>
        <w:t>（2）组织实施</w:t>
      </w:r>
    </w:p>
    <w:p>
      <w:pPr>
        <w:spacing w:line="560" w:lineRule="exact"/>
        <w:ind w:firstLine="643" w:firstLineChars="200"/>
        <w:rPr>
          <w:rFonts w:ascii="仿宋_GB2312" w:hAnsi="仿宋" w:eastAsia="仿宋_GB2312"/>
          <w:b/>
          <w:color w:val="auto"/>
          <w:sz w:val="32"/>
          <w:szCs w:val="32"/>
          <w:highlight w:val="none"/>
        </w:rPr>
      </w:pPr>
      <w:r>
        <w:rPr>
          <w:rFonts w:hint="eastAsia" w:ascii="仿宋_GB2312" w:hAnsi="仿宋" w:eastAsia="仿宋_GB2312"/>
          <w:b/>
          <w:color w:val="auto"/>
          <w:sz w:val="32"/>
          <w:szCs w:val="32"/>
          <w:highlight w:val="none"/>
        </w:rPr>
        <w:t>a）管理制度健全性（标准分值</w:t>
      </w:r>
      <w:r>
        <w:rPr>
          <w:rFonts w:ascii="仿宋_GB2312" w:hAnsi="仿宋" w:eastAsia="仿宋_GB2312"/>
          <w:b/>
          <w:color w:val="auto"/>
          <w:sz w:val="32"/>
          <w:szCs w:val="32"/>
          <w:highlight w:val="none"/>
        </w:rPr>
        <w:t>3</w:t>
      </w:r>
      <w:r>
        <w:rPr>
          <w:rFonts w:hint="eastAsia" w:ascii="仿宋_GB2312" w:hAnsi="仿宋" w:eastAsia="仿宋_GB2312"/>
          <w:b/>
          <w:color w:val="auto"/>
          <w:sz w:val="32"/>
          <w:szCs w:val="32"/>
          <w:highlight w:val="none"/>
        </w:rPr>
        <w:t>分）</w:t>
      </w:r>
    </w:p>
    <w:p>
      <w:pPr>
        <w:spacing w:line="560" w:lineRule="exact"/>
        <w:ind w:firstLine="600"/>
        <w:rPr>
          <w:rFonts w:ascii="仿宋_GB2312" w:hAnsi="仿宋" w:eastAsia="仿宋_GB2312" w:cs="宋体"/>
          <w:color w:val="auto"/>
          <w:sz w:val="32"/>
          <w:szCs w:val="32"/>
          <w:highlight w:val="none"/>
        </w:rPr>
      </w:pPr>
      <w:r>
        <w:rPr>
          <w:rFonts w:hint="eastAsia" w:ascii="仿宋_GB2312" w:hAnsi="仿宋" w:eastAsia="仿宋_GB2312" w:cs="宋体"/>
          <w:b/>
          <w:color w:val="auto"/>
          <w:sz w:val="32"/>
          <w:szCs w:val="32"/>
          <w:highlight w:val="none"/>
        </w:rPr>
        <w:t>指标内容：</w:t>
      </w:r>
      <w:r>
        <w:rPr>
          <w:rFonts w:hint="eastAsia" w:ascii="仿宋_GB2312" w:hAnsi="仿宋" w:eastAsia="仿宋_GB2312" w:cs="宋体"/>
          <w:color w:val="auto"/>
          <w:sz w:val="32"/>
          <w:szCs w:val="32"/>
          <w:highlight w:val="none"/>
        </w:rPr>
        <w:t>项目实施单位的财务和业务管理制度是否健全，用以反映和考核财务和业务管理制度对项目顺利实施的保障情况。</w:t>
      </w:r>
    </w:p>
    <w:p>
      <w:pPr>
        <w:spacing w:line="560" w:lineRule="exact"/>
        <w:ind w:firstLine="600"/>
        <w:rPr>
          <w:rFonts w:ascii="仿宋_GB2312" w:hAnsi="仿宋" w:eastAsia="仿宋_GB2312"/>
          <w:bCs/>
          <w:color w:val="auto"/>
          <w:sz w:val="32"/>
          <w:szCs w:val="32"/>
          <w:highlight w:val="none"/>
        </w:rPr>
      </w:pPr>
      <w:r>
        <w:rPr>
          <w:rFonts w:hint="eastAsia" w:ascii="仿宋_GB2312" w:hAnsi="仿宋" w:eastAsia="仿宋_GB2312"/>
          <w:b/>
          <w:color w:val="auto"/>
          <w:sz w:val="32"/>
          <w:szCs w:val="32"/>
          <w:highlight w:val="none"/>
        </w:rPr>
        <w:t>评价分析：</w:t>
      </w:r>
      <w:r>
        <w:rPr>
          <w:rFonts w:hint="eastAsia" w:ascii="仿宋_GB2312" w:hAnsi="仿宋" w:eastAsia="仿宋_GB2312"/>
          <w:bCs/>
          <w:color w:val="auto"/>
          <w:sz w:val="32"/>
          <w:szCs w:val="32"/>
          <w:highlight w:val="none"/>
        </w:rPr>
        <w:t>通城经济开发区管理委员会于2021年2月印发了《财务管理办法》等制度的通知（隽经开文[2021]1号），财务管理制度健全。2022年5月印发了《工程项目建设管理实施细则》的通知（隽经开文[2022]9号），业务管理制度健全。</w:t>
      </w:r>
    </w:p>
    <w:p>
      <w:pPr>
        <w:spacing w:line="560" w:lineRule="exact"/>
        <w:ind w:firstLine="600"/>
        <w:rPr>
          <w:rFonts w:ascii="仿宋_GB2312" w:hAnsi="仿宋" w:eastAsia="仿宋_GB2312"/>
          <w:color w:val="auto"/>
          <w:sz w:val="32"/>
          <w:szCs w:val="32"/>
          <w:highlight w:val="none"/>
        </w:rPr>
      </w:pPr>
      <w:r>
        <w:rPr>
          <w:rFonts w:hint="eastAsia" w:ascii="仿宋_GB2312" w:hAnsi="仿宋" w:eastAsia="仿宋_GB2312" w:cs="楷体"/>
          <w:b/>
          <w:color w:val="auto"/>
          <w:sz w:val="32"/>
          <w:szCs w:val="32"/>
          <w:highlight w:val="none"/>
        </w:rPr>
        <w:t>评价得分：</w:t>
      </w:r>
      <w:r>
        <w:rPr>
          <w:rFonts w:hint="eastAsia" w:ascii="仿宋_GB2312" w:hAnsi="仿宋" w:eastAsia="仿宋_GB2312"/>
          <w:bCs/>
          <w:color w:val="auto"/>
          <w:sz w:val="32"/>
          <w:szCs w:val="32"/>
          <w:highlight w:val="none"/>
        </w:rPr>
        <w:t>财务和业务管理制度健全，且合法、合规、完整。</w:t>
      </w:r>
      <w:r>
        <w:rPr>
          <w:rFonts w:hint="eastAsia" w:ascii="仿宋_GB2312" w:hAnsi="仿宋" w:eastAsia="仿宋_GB2312"/>
          <w:color w:val="auto"/>
          <w:sz w:val="32"/>
          <w:szCs w:val="32"/>
          <w:highlight w:val="none"/>
        </w:rPr>
        <w:t>该项指标综合得分为</w:t>
      </w:r>
      <w:r>
        <w:rPr>
          <w:rFonts w:ascii="仿宋_GB2312" w:hAnsi="仿宋" w:eastAsia="仿宋_GB2312"/>
          <w:color w:val="auto"/>
          <w:sz w:val="32"/>
          <w:szCs w:val="32"/>
          <w:highlight w:val="none"/>
        </w:rPr>
        <w:t>3</w:t>
      </w:r>
      <w:r>
        <w:rPr>
          <w:rFonts w:hint="eastAsia" w:ascii="仿宋_GB2312" w:hAnsi="仿宋" w:eastAsia="仿宋_GB2312"/>
          <w:color w:val="auto"/>
          <w:sz w:val="32"/>
          <w:szCs w:val="32"/>
          <w:highlight w:val="none"/>
        </w:rPr>
        <w:t>分。</w:t>
      </w:r>
    </w:p>
    <w:p>
      <w:pPr>
        <w:spacing w:line="560" w:lineRule="exact"/>
        <w:ind w:left="602"/>
        <w:rPr>
          <w:rFonts w:ascii="仿宋_GB2312" w:hAnsi="仿宋" w:eastAsia="仿宋_GB2312"/>
          <w:b/>
          <w:color w:val="auto"/>
          <w:sz w:val="32"/>
          <w:szCs w:val="32"/>
          <w:highlight w:val="none"/>
        </w:rPr>
      </w:pPr>
      <w:r>
        <w:rPr>
          <w:rFonts w:hint="eastAsia" w:ascii="仿宋_GB2312" w:hAnsi="仿宋" w:eastAsia="仿宋_GB2312"/>
          <w:b/>
          <w:color w:val="auto"/>
          <w:sz w:val="32"/>
          <w:szCs w:val="32"/>
          <w:highlight w:val="none"/>
        </w:rPr>
        <w:t>b）制度执行有效性（标准分值</w:t>
      </w:r>
      <w:r>
        <w:rPr>
          <w:rFonts w:ascii="仿宋_GB2312" w:hAnsi="仿宋" w:eastAsia="仿宋_GB2312"/>
          <w:b/>
          <w:color w:val="auto"/>
          <w:sz w:val="32"/>
          <w:szCs w:val="32"/>
          <w:highlight w:val="none"/>
        </w:rPr>
        <w:t>6</w:t>
      </w:r>
      <w:r>
        <w:rPr>
          <w:rFonts w:hint="eastAsia" w:ascii="仿宋_GB2312" w:hAnsi="仿宋" w:eastAsia="仿宋_GB2312"/>
          <w:b/>
          <w:color w:val="auto"/>
          <w:sz w:val="32"/>
          <w:szCs w:val="32"/>
          <w:highlight w:val="none"/>
        </w:rPr>
        <w:t>分）</w:t>
      </w:r>
    </w:p>
    <w:p>
      <w:pPr>
        <w:spacing w:line="560" w:lineRule="exact"/>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 xml:space="preserve">   </w:t>
      </w:r>
      <w:r>
        <w:rPr>
          <w:rFonts w:hint="eastAsia" w:ascii="仿宋_GB2312" w:hAnsi="仿宋" w:eastAsia="仿宋_GB2312" w:cs="宋体"/>
          <w:b/>
          <w:color w:val="auto"/>
          <w:sz w:val="32"/>
          <w:szCs w:val="32"/>
          <w:highlight w:val="none"/>
        </w:rPr>
        <w:t xml:space="preserve"> 指标内容：</w:t>
      </w:r>
      <w:r>
        <w:rPr>
          <w:rFonts w:hint="eastAsia" w:ascii="仿宋_GB2312" w:hAnsi="仿宋" w:eastAsia="仿宋_GB2312" w:cs="宋体"/>
          <w:color w:val="auto"/>
          <w:sz w:val="32"/>
          <w:szCs w:val="32"/>
          <w:highlight w:val="none"/>
        </w:rPr>
        <w:t>项目实施是否符合相关管理规定，用以反映和考核相关管理制度的有效执行情况。</w:t>
      </w:r>
    </w:p>
    <w:p>
      <w:pPr>
        <w:spacing w:line="560" w:lineRule="exact"/>
        <w:ind w:firstLine="643" w:firstLineChars="200"/>
        <w:rPr>
          <w:rFonts w:ascii="仿宋_GB2312" w:hAnsi="仿宋" w:eastAsia="仿宋_GB2312"/>
          <w:b/>
          <w:color w:val="auto"/>
          <w:sz w:val="32"/>
          <w:szCs w:val="32"/>
          <w:highlight w:val="none"/>
        </w:rPr>
      </w:pPr>
      <w:r>
        <w:rPr>
          <w:rFonts w:hint="eastAsia" w:ascii="仿宋_GB2312" w:hAnsi="仿宋" w:eastAsia="仿宋_GB2312"/>
          <w:b/>
          <w:color w:val="auto"/>
          <w:sz w:val="32"/>
          <w:szCs w:val="32"/>
          <w:highlight w:val="none"/>
        </w:rPr>
        <w:t>评价分析：</w:t>
      </w:r>
      <w:r>
        <w:rPr>
          <w:rFonts w:hint="eastAsia" w:ascii="仿宋_GB2312" w:hAnsi="仿宋" w:eastAsia="仿宋_GB2312" w:cs="楷体"/>
          <w:color w:val="auto"/>
          <w:sz w:val="32"/>
          <w:szCs w:val="32"/>
          <w:highlight w:val="none"/>
        </w:rPr>
        <w:t>项目</w:t>
      </w:r>
      <w:r>
        <w:rPr>
          <w:rFonts w:hint="eastAsia" w:ascii="仿宋_GB2312" w:hAnsi="仿宋" w:eastAsia="仿宋_GB2312" w:cs="楷体"/>
          <w:color w:val="auto"/>
          <w:sz w:val="32"/>
          <w:szCs w:val="32"/>
          <w:highlight w:val="none"/>
          <w:lang w:val="en-US" w:eastAsia="zh-CN"/>
        </w:rPr>
        <w:t>实施</w:t>
      </w:r>
      <w:r>
        <w:rPr>
          <w:rFonts w:hint="eastAsia" w:ascii="仿宋_GB2312" w:hAnsi="仿宋" w:eastAsia="仿宋_GB2312" w:cs="楷体"/>
          <w:color w:val="auto"/>
          <w:sz w:val="32"/>
          <w:szCs w:val="32"/>
          <w:highlight w:val="none"/>
        </w:rPr>
        <w:t>遵守相关法律法规和相关管理制度；未发现需要调整事项；项目</w:t>
      </w:r>
      <w:r>
        <w:rPr>
          <w:rFonts w:hint="eastAsia" w:ascii="仿宋_GB2312" w:hAnsi="仿宋" w:eastAsia="仿宋_GB2312" w:cs="楷体"/>
          <w:color w:val="auto"/>
          <w:sz w:val="32"/>
          <w:szCs w:val="32"/>
          <w:highlight w:val="none"/>
          <w:lang w:val="en-US" w:eastAsia="zh-CN"/>
        </w:rPr>
        <w:t>采购</w:t>
      </w:r>
      <w:r>
        <w:rPr>
          <w:rFonts w:hint="eastAsia" w:ascii="仿宋_GB2312" w:hAnsi="仿宋" w:eastAsia="仿宋_GB2312" w:cs="楷体"/>
          <w:color w:val="auto"/>
          <w:sz w:val="32"/>
          <w:szCs w:val="32"/>
          <w:highlight w:val="none"/>
        </w:rPr>
        <w:t>、合同</w:t>
      </w:r>
      <w:r>
        <w:rPr>
          <w:rFonts w:hint="eastAsia" w:ascii="仿宋_GB2312" w:hAnsi="仿宋" w:eastAsia="仿宋_GB2312" w:cs="楷体"/>
          <w:color w:val="auto"/>
          <w:sz w:val="32"/>
          <w:szCs w:val="32"/>
          <w:highlight w:val="none"/>
          <w:lang w:eastAsia="zh-CN"/>
        </w:rPr>
        <w:t>、</w:t>
      </w:r>
      <w:r>
        <w:rPr>
          <w:rFonts w:hint="eastAsia" w:ascii="仿宋_GB2312" w:hAnsi="仿宋" w:eastAsia="仿宋_GB2312" w:cs="楷体"/>
          <w:color w:val="auto"/>
          <w:sz w:val="32"/>
          <w:szCs w:val="32"/>
          <w:highlight w:val="none"/>
        </w:rPr>
        <w:t>考评等资料</w:t>
      </w:r>
      <w:r>
        <w:rPr>
          <w:rFonts w:hint="eastAsia" w:ascii="仿宋_GB2312" w:hAnsi="仿宋" w:eastAsia="仿宋_GB2312" w:cs="楷体"/>
          <w:color w:val="auto"/>
          <w:sz w:val="32"/>
          <w:szCs w:val="32"/>
          <w:highlight w:val="none"/>
          <w:lang w:val="en-US" w:eastAsia="zh-CN"/>
        </w:rPr>
        <w:t>较为完备，但未收集整理归档，资料较为零散</w:t>
      </w:r>
      <w:r>
        <w:rPr>
          <w:rFonts w:hint="eastAsia" w:ascii="仿宋_GB2312" w:hAnsi="仿宋" w:eastAsia="仿宋_GB2312"/>
          <w:bCs/>
          <w:color w:val="auto"/>
          <w:sz w:val="32"/>
          <w:szCs w:val="32"/>
          <w:highlight w:val="none"/>
          <w:lang w:val="en-US" w:eastAsia="zh-CN"/>
        </w:rPr>
        <w:t>；</w:t>
      </w:r>
      <w:r>
        <w:rPr>
          <w:rFonts w:hint="eastAsia" w:ascii="仿宋_GB2312" w:hAnsi="仿宋" w:eastAsia="仿宋_GB2312"/>
          <w:color w:val="auto"/>
          <w:sz w:val="32"/>
          <w:szCs w:val="32"/>
          <w:highlight w:val="none"/>
        </w:rPr>
        <w:t>项目按</w:t>
      </w:r>
      <w:r>
        <w:rPr>
          <w:rFonts w:hint="eastAsia" w:ascii="仿宋_GB2312" w:hAnsi="仿宋" w:eastAsia="仿宋_GB2312"/>
          <w:color w:val="auto"/>
          <w:sz w:val="32"/>
          <w:szCs w:val="32"/>
          <w:highlight w:val="none"/>
          <w:lang w:val="en-US" w:eastAsia="zh-CN"/>
        </w:rPr>
        <w:t>要求</w:t>
      </w:r>
      <w:r>
        <w:rPr>
          <w:rFonts w:hint="eastAsia" w:ascii="仿宋_GB2312" w:hAnsi="仿宋" w:eastAsia="仿宋_GB2312"/>
          <w:color w:val="auto"/>
          <w:sz w:val="32"/>
          <w:szCs w:val="32"/>
          <w:highlight w:val="none"/>
        </w:rPr>
        <w:t>执行了绩效目标申报、监控及自评</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但监控表中</w:t>
      </w:r>
      <w:r>
        <w:rPr>
          <w:rFonts w:hint="eastAsia" w:ascii="仿宋_GB2312" w:hAnsi="仿宋" w:eastAsia="仿宋_GB2312"/>
          <w:color w:val="auto"/>
          <w:sz w:val="32"/>
          <w:szCs w:val="32"/>
          <w:highlight w:val="none"/>
          <w:lang w:val="en-US" w:eastAsia="zh-CN"/>
        </w:rPr>
        <w:t>的</w:t>
      </w:r>
      <w:r>
        <w:rPr>
          <w:rFonts w:hint="eastAsia" w:ascii="仿宋_GB2312" w:hAnsi="仿宋" w:eastAsia="仿宋_GB2312"/>
          <w:color w:val="auto"/>
          <w:sz w:val="32"/>
          <w:szCs w:val="32"/>
          <w:highlight w:val="none"/>
        </w:rPr>
        <w:t>产出指标</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rPr>
        <w:t>与申报表</w:t>
      </w:r>
      <w:r>
        <w:rPr>
          <w:rFonts w:hint="eastAsia" w:ascii="仿宋_GB2312" w:hAnsi="仿宋" w:eastAsia="仿宋_GB2312"/>
          <w:color w:val="auto"/>
          <w:sz w:val="32"/>
          <w:szCs w:val="32"/>
          <w:highlight w:val="none"/>
          <w:lang w:val="en-US" w:eastAsia="zh-CN"/>
        </w:rPr>
        <w:t>不相符，该项目绩效目标申报表中，产出指标设置为：“数量指标-服务企业数量54家”、“质量指标-服务达标率90%以上”、“时效指标-服务及时率90%以上”、“成本指标-预算控制在45万”，而绩效运行监控表中，产出指标设置为：“投产项目达标率100%”、“推进项目及时性90%以上”。</w:t>
      </w:r>
    </w:p>
    <w:p>
      <w:pPr>
        <w:spacing w:line="560" w:lineRule="exact"/>
        <w:ind w:firstLine="643" w:firstLineChars="200"/>
        <w:rPr>
          <w:rFonts w:ascii="仿宋_GB2312" w:hAnsi="仿宋" w:eastAsia="仿宋_GB2312" w:cs="楷体"/>
          <w:b/>
          <w:color w:val="auto"/>
          <w:sz w:val="32"/>
          <w:szCs w:val="32"/>
          <w:highlight w:val="none"/>
        </w:rPr>
      </w:pPr>
      <w:r>
        <w:rPr>
          <w:rFonts w:hint="eastAsia" w:ascii="仿宋_GB2312" w:hAnsi="仿宋" w:eastAsia="仿宋_GB2312" w:cs="楷体"/>
          <w:b/>
          <w:color w:val="auto"/>
          <w:sz w:val="32"/>
          <w:szCs w:val="32"/>
          <w:highlight w:val="none"/>
        </w:rPr>
        <w:t>评价得分：</w:t>
      </w:r>
      <w:r>
        <w:rPr>
          <w:rFonts w:hint="eastAsia" w:ascii="仿宋_GB2312" w:hAnsi="仿宋" w:eastAsia="仿宋_GB2312"/>
          <w:bCs/>
          <w:color w:val="auto"/>
          <w:sz w:val="32"/>
          <w:szCs w:val="32"/>
          <w:highlight w:val="none"/>
        </w:rPr>
        <w:t>项目</w:t>
      </w:r>
      <w:r>
        <w:rPr>
          <w:rFonts w:hint="eastAsia" w:ascii="仿宋_GB2312" w:hAnsi="仿宋" w:eastAsia="仿宋_GB2312"/>
          <w:bCs/>
          <w:color w:val="auto"/>
          <w:sz w:val="32"/>
          <w:szCs w:val="32"/>
          <w:highlight w:val="none"/>
          <w:lang w:val="en-US" w:eastAsia="zh-CN"/>
        </w:rPr>
        <w:t>资料较为零散，未收集整理归档；未</w:t>
      </w:r>
      <w:r>
        <w:rPr>
          <w:rFonts w:hint="eastAsia" w:ascii="仿宋_GB2312" w:hAnsi="仿宋" w:eastAsia="仿宋_GB2312"/>
          <w:bCs/>
          <w:color w:val="auto"/>
          <w:sz w:val="32"/>
          <w:szCs w:val="32"/>
          <w:highlight w:val="none"/>
        </w:rPr>
        <w:t>依据申报的绩效目标开展绩效运行监控</w:t>
      </w:r>
      <w:r>
        <w:rPr>
          <w:rFonts w:hint="eastAsia" w:ascii="仿宋_GB2312" w:hAnsi="仿宋" w:eastAsia="仿宋_GB2312"/>
          <w:bCs/>
          <w:color w:val="auto"/>
          <w:sz w:val="32"/>
          <w:szCs w:val="32"/>
          <w:highlight w:val="none"/>
          <w:lang w:eastAsia="zh-CN"/>
        </w:rPr>
        <w:t>，</w:t>
      </w:r>
      <w:r>
        <w:rPr>
          <w:rFonts w:hint="eastAsia" w:ascii="仿宋_GB2312" w:hAnsi="仿宋" w:eastAsia="仿宋_GB2312"/>
          <w:bCs/>
          <w:color w:val="auto"/>
          <w:sz w:val="32"/>
          <w:szCs w:val="32"/>
          <w:highlight w:val="none"/>
          <w:lang w:val="en-US" w:eastAsia="zh-CN"/>
        </w:rPr>
        <w:t>合计</w:t>
      </w:r>
      <w:r>
        <w:rPr>
          <w:rFonts w:hint="eastAsia" w:ascii="仿宋_GB2312" w:hAnsi="仿宋" w:eastAsia="仿宋_GB2312"/>
          <w:bCs/>
          <w:color w:val="auto"/>
          <w:sz w:val="32"/>
          <w:szCs w:val="32"/>
          <w:highlight w:val="none"/>
        </w:rPr>
        <w:t>扣</w:t>
      </w:r>
      <w:r>
        <w:rPr>
          <w:rFonts w:hint="eastAsia" w:ascii="仿宋_GB2312" w:hAnsi="仿宋" w:eastAsia="仿宋_GB2312"/>
          <w:bCs/>
          <w:color w:val="auto"/>
          <w:sz w:val="32"/>
          <w:szCs w:val="32"/>
          <w:highlight w:val="none"/>
          <w:lang w:val="en-US" w:eastAsia="zh-CN"/>
        </w:rPr>
        <w:t>3</w:t>
      </w:r>
      <w:r>
        <w:rPr>
          <w:rFonts w:hint="eastAsia" w:ascii="仿宋_GB2312" w:hAnsi="仿宋" w:eastAsia="仿宋_GB2312"/>
          <w:bCs/>
          <w:color w:val="auto"/>
          <w:sz w:val="32"/>
          <w:szCs w:val="32"/>
          <w:highlight w:val="none"/>
        </w:rPr>
        <w:t>分。该项指标综合得分</w:t>
      </w:r>
      <w:r>
        <w:rPr>
          <w:rFonts w:ascii="仿宋_GB2312" w:hAnsi="仿宋" w:eastAsia="仿宋_GB2312"/>
          <w:bCs/>
          <w:color w:val="auto"/>
          <w:sz w:val="32"/>
          <w:szCs w:val="32"/>
          <w:highlight w:val="none"/>
        </w:rPr>
        <w:t>3</w:t>
      </w:r>
      <w:r>
        <w:rPr>
          <w:rFonts w:hint="eastAsia" w:ascii="仿宋_GB2312" w:hAnsi="仿宋" w:eastAsia="仿宋_GB2312"/>
          <w:bCs/>
          <w:color w:val="auto"/>
          <w:sz w:val="32"/>
          <w:szCs w:val="32"/>
          <w:highlight w:val="none"/>
        </w:rPr>
        <w:t>分。</w:t>
      </w:r>
    </w:p>
    <w:p>
      <w:pPr>
        <w:spacing w:line="560" w:lineRule="exact"/>
        <w:ind w:firstLine="643" w:firstLineChars="200"/>
        <w:outlineLvl w:val="2"/>
        <w:rPr>
          <w:rFonts w:ascii="仿宋_GB2312" w:hAnsi="仿宋" w:eastAsia="仿宋_GB2312" w:cs="楷体"/>
          <w:b/>
          <w:bCs/>
          <w:color w:val="auto"/>
          <w:sz w:val="32"/>
          <w:szCs w:val="32"/>
          <w:highlight w:val="none"/>
        </w:rPr>
      </w:pPr>
      <w:bookmarkStart w:id="55" w:name="_Toc7174"/>
      <w:bookmarkStart w:id="56" w:name="_Toc651"/>
      <w:r>
        <w:rPr>
          <w:rFonts w:hint="eastAsia" w:ascii="仿宋_GB2312" w:hAnsi="仿宋" w:eastAsia="仿宋_GB2312"/>
          <w:b/>
          <w:bCs/>
          <w:color w:val="auto"/>
          <w:sz w:val="32"/>
          <w:szCs w:val="32"/>
          <w:highlight w:val="none"/>
        </w:rPr>
        <w:t>3.</w:t>
      </w:r>
      <w:r>
        <w:rPr>
          <w:rFonts w:hint="eastAsia" w:ascii="仿宋_GB2312" w:hAnsi="仿宋" w:eastAsia="仿宋_GB2312" w:cs="楷体"/>
          <w:b/>
          <w:bCs/>
          <w:color w:val="auto"/>
          <w:sz w:val="32"/>
          <w:szCs w:val="32"/>
          <w:highlight w:val="none"/>
        </w:rPr>
        <w:t>产出分析</w:t>
      </w:r>
      <w:bookmarkEnd w:id="55"/>
      <w:bookmarkEnd w:id="56"/>
    </w:p>
    <w:p>
      <w:pPr>
        <w:spacing w:line="560" w:lineRule="exact"/>
        <w:ind w:firstLine="615"/>
        <w:rPr>
          <w:rFonts w:ascii="仿宋_GB2312" w:hAnsi="仿宋" w:eastAsia="仿宋_GB2312" w:cs="楷体"/>
          <w:b/>
          <w:bCs/>
          <w:color w:val="auto"/>
          <w:sz w:val="32"/>
          <w:szCs w:val="32"/>
          <w:highlight w:val="none"/>
        </w:rPr>
      </w:pPr>
      <w:r>
        <w:rPr>
          <w:rFonts w:hint="eastAsia" w:ascii="仿宋_GB2312" w:hAnsi="仿宋" w:eastAsia="仿宋_GB2312" w:cs="楷体"/>
          <w:b/>
          <w:bCs/>
          <w:color w:val="auto"/>
          <w:sz w:val="32"/>
          <w:szCs w:val="32"/>
          <w:highlight w:val="none"/>
        </w:rPr>
        <w:t>（1）产出数量（标准分值15分）</w:t>
      </w:r>
    </w:p>
    <w:p>
      <w:pPr>
        <w:spacing w:line="560" w:lineRule="exact"/>
        <w:ind w:firstLine="615"/>
        <w:rPr>
          <w:rFonts w:ascii="仿宋_GB2312" w:hAnsi="仿宋" w:eastAsia="仿宋_GB2312" w:cs="楷体"/>
          <w:bCs/>
          <w:color w:val="auto"/>
          <w:sz w:val="32"/>
          <w:szCs w:val="32"/>
          <w:highlight w:val="none"/>
        </w:rPr>
      </w:pPr>
      <w:r>
        <w:rPr>
          <w:rFonts w:hint="eastAsia" w:ascii="仿宋_GB2312" w:hAnsi="仿宋" w:eastAsia="仿宋_GB2312" w:cs="楷体"/>
          <w:b/>
          <w:bCs/>
          <w:color w:val="auto"/>
          <w:sz w:val="32"/>
          <w:szCs w:val="32"/>
          <w:highlight w:val="none"/>
        </w:rPr>
        <w:t>指标内容：</w:t>
      </w:r>
      <w:r>
        <w:rPr>
          <w:rFonts w:hint="eastAsia" w:ascii="仿宋_GB2312" w:hAnsi="仿宋" w:eastAsia="仿宋_GB2312" w:cs="楷体"/>
          <w:bCs/>
          <w:color w:val="auto"/>
          <w:sz w:val="32"/>
          <w:szCs w:val="32"/>
          <w:highlight w:val="none"/>
        </w:rPr>
        <w:t>项目实施的实际产出数与计划产出数的比率，用以反映和考核项目产出数量目标的实现程度。</w:t>
      </w:r>
    </w:p>
    <w:p>
      <w:pPr>
        <w:spacing w:line="560" w:lineRule="exact"/>
        <w:ind w:firstLine="615"/>
        <w:rPr>
          <w:rFonts w:ascii="仿宋_GB2312" w:hAnsi="仿宋" w:eastAsia="仿宋_GB2312" w:cs="楷体"/>
          <w:color w:val="auto"/>
          <w:sz w:val="32"/>
          <w:szCs w:val="32"/>
          <w:highlight w:val="none"/>
        </w:rPr>
      </w:pPr>
      <w:r>
        <w:rPr>
          <w:rFonts w:hint="eastAsia" w:ascii="仿宋_GB2312" w:hAnsi="仿宋" w:eastAsia="仿宋_GB2312" w:cs="楷体"/>
          <w:b/>
          <w:bCs/>
          <w:color w:val="auto"/>
          <w:sz w:val="32"/>
          <w:szCs w:val="32"/>
          <w:highlight w:val="none"/>
        </w:rPr>
        <w:t>指标完成：</w:t>
      </w:r>
      <w:r>
        <w:rPr>
          <w:rFonts w:hint="eastAsia" w:ascii="仿宋_GB2312" w:hAnsi="仿宋" w:eastAsia="仿宋_GB2312" w:cs="楷体"/>
          <w:color w:val="auto"/>
          <w:sz w:val="32"/>
          <w:szCs w:val="32"/>
          <w:highlight w:val="none"/>
        </w:rPr>
        <w:t>通城经济开发区管理委员会就环保管家服务、突发环境事件应急预案编制技术服务和安全生产技术服务三方面内容，分别与受托方签订了服务协议。环保管家服务子项目、安全生产技术服务子项目，由经开区管委会组织考评，考评结果为合格。突发环境事件应急预案编制技术服务项目，于2021年9月26日经过专家组评审并提出修改意见，并于2021年10月10日根据专家意见修改完善后，报至咸宁市生态环境局通城县分局备案。</w:t>
      </w:r>
    </w:p>
    <w:p>
      <w:pPr>
        <w:spacing w:line="560" w:lineRule="exact"/>
        <w:ind w:firstLine="615"/>
        <w:rPr>
          <w:rFonts w:ascii="仿宋_GB2312" w:hAnsi="仿宋" w:eastAsia="仿宋_GB2312" w:cs="楷体"/>
          <w:bCs/>
          <w:color w:val="auto"/>
          <w:sz w:val="32"/>
          <w:szCs w:val="32"/>
          <w:highlight w:val="none"/>
        </w:rPr>
      </w:pPr>
      <w:r>
        <w:rPr>
          <w:rFonts w:hint="eastAsia" w:ascii="仿宋_GB2312" w:hAnsi="仿宋" w:eastAsia="仿宋_GB2312" w:cs="楷体"/>
          <w:b/>
          <w:bCs/>
          <w:color w:val="auto"/>
          <w:sz w:val="32"/>
          <w:szCs w:val="32"/>
          <w:highlight w:val="none"/>
        </w:rPr>
        <w:t>评价得分：</w:t>
      </w:r>
      <w:r>
        <w:rPr>
          <w:rFonts w:hint="eastAsia" w:ascii="仿宋_GB2312" w:hAnsi="仿宋" w:eastAsia="仿宋_GB2312" w:cs="楷体"/>
          <w:bCs/>
          <w:color w:val="auto"/>
          <w:sz w:val="32"/>
          <w:szCs w:val="32"/>
          <w:highlight w:val="none"/>
        </w:rPr>
        <w:t>该项指标综合得分</w:t>
      </w:r>
      <w:r>
        <w:rPr>
          <w:rFonts w:hint="eastAsia" w:ascii="仿宋_GB2312" w:hAnsi="仿宋" w:eastAsia="仿宋_GB2312" w:cs="楷体"/>
          <w:bCs/>
          <w:color w:val="auto"/>
          <w:sz w:val="32"/>
          <w:szCs w:val="32"/>
          <w:highlight w:val="none"/>
          <w:lang w:val="en-US" w:eastAsia="zh-CN"/>
        </w:rPr>
        <w:t>为满分15分</w:t>
      </w:r>
      <w:r>
        <w:rPr>
          <w:rFonts w:hint="eastAsia" w:ascii="仿宋_GB2312" w:hAnsi="仿宋" w:eastAsia="仿宋_GB2312" w:cs="楷体"/>
          <w:bCs/>
          <w:color w:val="auto"/>
          <w:sz w:val="32"/>
          <w:szCs w:val="32"/>
          <w:highlight w:val="none"/>
        </w:rPr>
        <w:t>。</w:t>
      </w:r>
    </w:p>
    <w:p>
      <w:pPr>
        <w:spacing w:line="560" w:lineRule="exact"/>
        <w:ind w:firstLine="615"/>
        <w:rPr>
          <w:rFonts w:ascii="仿宋_GB2312" w:hAnsi="仿宋" w:eastAsia="仿宋_GB2312" w:cs="楷体"/>
          <w:b/>
          <w:bCs/>
          <w:color w:val="auto"/>
          <w:sz w:val="32"/>
          <w:szCs w:val="32"/>
          <w:highlight w:val="none"/>
        </w:rPr>
      </w:pPr>
      <w:r>
        <w:rPr>
          <w:rFonts w:hint="eastAsia" w:ascii="仿宋_GB2312" w:hAnsi="仿宋" w:eastAsia="仿宋_GB2312" w:cs="楷体"/>
          <w:b/>
          <w:bCs/>
          <w:color w:val="auto"/>
          <w:sz w:val="32"/>
          <w:szCs w:val="32"/>
          <w:highlight w:val="none"/>
        </w:rPr>
        <w:t>（2）产出质量（标准分值7分）</w:t>
      </w:r>
    </w:p>
    <w:p>
      <w:pPr>
        <w:spacing w:line="560" w:lineRule="exact"/>
        <w:ind w:firstLine="615"/>
        <w:rPr>
          <w:rFonts w:ascii="仿宋_GB2312" w:hAnsi="仿宋" w:eastAsia="仿宋_GB2312" w:cs="楷体"/>
          <w:color w:val="auto"/>
          <w:sz w:val="32"/>
          <w:szCs w:val="32"/>
          <w:highlight w:val="none"/>
        </w:rPr>
      </w:pPr>
      <w:r>
        <w:rPr>
          <w:rFonts w:hint="eastAsia" w:ascii="仿宋_GB2312" w:hAnsi="仿宋" w:eastAsia="仿宋_GB2312" w:cs="楷体"/>
          <w:b/>
          <w:bCs/>
          <w:color w:val="auto"/>
          <w:sz w:val="32"/>
          <w:szCs w:val="32"/>
          <w:highlight w:val="none"/>
        </w:rPr>
        <w:t>指标内容：</w:t>
      </w:r>
      <w:r>
        <w:rPr>
          <w:rFonts w:hint="eastAsia" w:ascii="仿宋_GB2312" w:hAnsi="仿宋" w:eastAsia="仿宋_GB2312" w:cs="楷体"/>
          <w:color w:val="auto"/>
          <w:sz w:val="32"/>
          <w:szCs w:val="32"/>
          <w:highlight w:val="none"/>
        </w:rPr>
        <w:t>项目完成的质量达标产出数与实际产出数的比率，用以反映和考核项目产出质量目标的实现程度。</w:t>
      </w:r>
    </w:p>
    <w:p>
      <w:pPr>
        <w:spacing w:line="560" w:lineRule="exact"/>
        <w:ind w:firstLine="615"/>
        <w:rPr>
          <w:rFonts w:ascii="仿宋_GB2312" w:hAnsi="仿宋" w:eastAsia="仿宋_GB2312" w:cs="楷体"/>
          <w:color w:val="auto"/>
          <w:sz w:val="32"/>
          <w:szCs w:val="32"/>
          <w:highlight w:val="none"/>
        </w:rPr>
      </w:pPr>
      <w:r>
        <w:rPr>
          <w:rFonts w:hint="eastAsia" w:ascii="仿宋_GB2312" w:hAnsi="仿宋" w:eastAsia="仿宋_GB2312" w:cs="楷体"/>
          <w:b/>
          <w:bCs/>
          <w:color w:val="auto"/>
          <w:sz w:val="32"/>
          <w:szCs w:val="32"/>
          <w:highlight w:val="none"/>
        </w:rPr>
        <w:t>指标完成：</w:t>
      </w:r>
      <w:r>
        <w:rPr>
          <w:rFonts w:hint="eastAsia" w:ascii="仿宋_GB2312" w:hAnsi="仿宋" w:eastAsia="仿宋_GB2312" w:cs="楷体"/>
          <w:color w:val="auto"/>
          <w:sz w:val="32"/>
          <w:szCs w:val="32"/>
          <w:highlight w:val="none"/>
        </w:rPr>
        <w:t>环保管家服务子项目和安全生产技术服务子项目，由经开区管委会组织服务质量考评，考评结果为合格。</w:t>
      </w:r>
      <w:r>
        <w:rPr>
          <w:rFonts w:hint="eastAsia" w:ascii="仿宋_GB2312" w:hAnsi="仿宋" w:eastAsia="仿宋_GB2312" w:cs="楷体"/>
          <w:color w:val="auto"/>
          <w:sz w:val="32"/>
          <w:szCs w:val="32"/>
          <w:highlight w:val="none"/>
          <w:lang w:val="en-US" w:eastAsia="zh-CN"/>
        </w:rPr>
        <w:t>突发环境事件应急预案编制技术服务项目，于2021年9月26日经过专家组评审并提出修改意见，并于2021年10月10日根据专家意见修改完善后，报至咸宁市生态环境局通城县分局备案。</w:t>
      </w:r>
    </w:p>
    <w:p>
      <w:pPr>
        <w:spacing w:line="560" w:lineRule="exact"/>
        <w:ind w:firstLine="615"/>
        <w:rPr>
          <w:rFonts w:ascii="仿宋_GB2312" w:hAnsi="仿宋" w:eastAsia="仿宋_GB2312" w:cs="楷体"/>
          <w:bCs/>
          <w:color w:val="auto"/>
          <w:sz w:val="32"/>
          <w:szCs w:val="32"/>
          <w:highlight w:val="none"/>
        </w:rPr>
      </w:pPr>
      <w:r>
        <w:rPr>
          <w:rFonts w:hint="eastAsia" w:ascii="仿宋_GB2312" w:hAnsi="仿宋" w:eastAsia="仿宋_GB2312" w:cs="楷体"/>
          <w:b/>
          <w:bCs/>
          <w:color w:val="auto"/>
          <w:sz w:val="32"/>
          <w:szCs w:val="32"/>
          <w:highlight w:val="none"/>
        </w:rPr>
        <w:t>指标评价得分：</w:t>
      </w:r>
      <w:r>
        <w:rPr>
          <w:rFonts w:hint="eastAsia" w:ascii="仿宋_GB2312" w:hAnsi="仿宋" w:eastAsia="仿宋_GB2312" w:cs="楷体"/>
          <w:color w:val="auto"/>
          <w:sz w:val="32"/>
          <w:szCs w:val="32"/>
          <w:highlight w:val="none"/>
        </w:rPr>
        <w:t>该项指标综合得分</w:t>
      </w:r>
      <w:r>
        <w:rPr>
          <w:rFonts w:hint="eastAsia" w:ascii="仿宋_GB2312" w:hAnsi="仿宋" w:eastAsia="仿宋_GB2312" w:cs="楷体"/>
          <w:color w:val="auto"/>
          <w:sz w:val="32"/>
          <w:szCs w:val="32"/>
          <w:highlight w:val="none"/>
          <w:lang w:val="en-US" w:eastAsia="zh-CN"/>
        </w:rPr>
        <w:t>为满分7</w:t>
      </w:r>
      <w:r>
        <w:rPr>
          <w:rFonts w:hint="eastAsia" w:ascii="仿宋_GB2312" w:hAnsi="仿宋" w:eastAsia="仿宋_GB2312" w:cs="楷体"/>
          <w:color w:val="auto"/>
          <w:sz w:val="32"/>
          <w:szCs w:val="32"/>
          <w:highlight w:val="none"/>
        </w:rPr>
        <w:t>分</w:t>
      </w:r>
      <w:r>
        <w:rPr>
          <w:rFonts w:hint="eastAsia" w:ascii="仿宋_GB2312" w:hAnsi="仿宋" w:eastAsia="仿宋_GB2312" w:cs="楷体"/>
          <w:bCs/>
          <w:color w:val="auto"/>
          <w:sz w:val="32"/>
          <w:szCs w:val="32"/>
          <w:highlight w:val="none"/>
        </w:rPr>
        <w:t>。</w:t>
      </w:r>
    </w:p>
    <w:p>
      <w:pPr>
        <w:spacing w:line="560" w:lineRule="exact"/>
        <w:ind w:firstLine="615"/>
        <w:rPr>
          <w:rFonts w:ascii="仿宋_GB2312" w:hAnsi="仿宋" w:eastAsia="仿宋_GB2312" w:cs="楷体"/>
          <w:b/>
          <w:bCs/>
          <w:color w:val="auto"/>
          <w:sz w:val="32"/>
          <w:szCs w:val="32"/>
          <w:highlight w:val="none"/>
        </w:rPr>
      </w:pPr>
      <w:r>
        <w:rPr>
          <w:rFonts w:hint="eastAsia" w:ascii="仿宋_GB2312" w:hAnsi="仿宋" w:eastAsia="仿宋_GB2312" w:cs="楷体"/>
          <w:b/>
          <w:bCs/>
          <w:color w:val="auto"/>
          <w:sz w:val="32"/>
          <w:szCs w:val="32"/>
          <w:highlight w:val="none"/>
        </w:rPr>
        <w:t>（3）产出时效（标准分值</w:t>
      </w:r>
      <w:r>
        <w:rPr>
          <w:rFonts w:ascii="仿宋_GB2312" w:hAnsi="仿宋" w:eastAsia="仿宋_GB2312" w:cs="楷体"/>
          <w:b/>
          <w:bCs/>
          <w:color w:val="auto"/>
          <w:sz w:val="32"/>
          <w:szCs w:val="32"/>
          <w:highlight w:val="none"/>
        </w:rPr>
        <w:t>7</w:t>
      </w:r>
      <w:r>
        <w:rPr>
          <w:rFonts w:hint="eastAsia" w:ascii="仿宋_GB2312" w:hAnsi="仿宋" w:eastAsia="仿宋_GB2312" w:cs="楷体"/>
          <w:b/>
          <w:bCs/>
          <w:color w:val="auto"/>
          <w:sz w:val="32"/>
          <w:szCs w:val="32"/>
          <w:highlight w:val="none"/>
        </w:rPr>
        <w:t>分）</w:t>
      </w:r>
    </w:p>
    <w:p>
      <w:pPr>
        <w:spacing w:line="560" w:lineRule="exact"/>
        <w:ind w:firstLine="615"/>
        <w:rPr>
          <w:rFonts w:ascii="仿宋_GB2312" w:hAnsi="仿宋" w:eastAsia="仿宋_GB2312" w:cs="楷体"/>
          <w:bCs/>
          <w:color w:val="auto"/>
          <w:sz w:val="32"/>
          <w:szCs w:val="32"/>
          <w:highlight w:val="none"/>
        </w:rPr>
      </w:pPr>
      <w:r>
        <w:rPr>
          <w:rFonts w:hint="eastAsia" w:ascii="仿宋_GB2312" w:hAnsi="仿宋" w:eastAsia="仿宋_GB2312" w:cs="楷体"/>
          <w:b/>
          <w:bCs/>
          <w:color w:val="auto"/>
          <w:sz w:val="32"/>
          <w:szCs w:val="32"/>
          <w:highlight w:val="none"/>
        </w:rPr>
        <w:t>指标内容：</w:t>
      </w:r>
      <w:r>
        <w:rPr>
          <w:rFonts w:hint="eastAsia" w:ascii="仿宋_GB2312" w:hAnsi="仿宋" w:eastAsia="仿宋_GB2312" w:cs="楷体"/>
          <w:bCs/>
          <w:color w:val="auto"/>
          <w:sz w:val="32"/>
          <w:szCs w:val="32"/>
          <w:highlight w:val="none"/>
        </w:rPr>
        <w:t>项目实际完成时间与计划完成时间的比较，用以反映和考核项目产出时效目标的实现程度。</w:t>
      </w:r>
    </w:p>
    <w:p>
      <w:pPr>
        <w:spacing w:line="560" w:lineRule="exact"/>
        <w:ind w:firstLine="615"/>
        <w:rPr>
          <w:rFonts w:hint="eastAsia" w:ascii="仿宋_GB2312" w:hAnsi="仿宋" w:eastAsia="仿宋_GB2312" w:cs="楷体"/>
          <w:color w:val="auto"/>
          <w:sz w:val="32"/>
          <w:szCs w:val="32"/>
          <w:highlight w:val="none"/>
        </w:rPr>
      </w:pPr>
      <w:r>
        <w:rPr>
          <w:rFonts w:hint="eastAsia" w:ascii="仿宋_GB2312" w:hAnsi="仿宋" w:eastAsia="仿宋_GB2312" w:cs="楷体"/>
          <w:b/>
          <w:bCs/>
          <w:color w:val="auto"/>
          <w:sz w:val="32"/>
          <w:szCs w:val="32"/>
          <w:highlight w:val="none"/>
        </w:rPr>
        <w:t>指标完成：</w:t>
      </w:r>
      <w:r>
        <w:rPr>
          <w:rFonts w:hint="eastAsia" w:ascii="仿宋_GB2312" w:hAnsi="仿宋" w:eastAsia="仿宋_GB2312" w:cs="楷体"/>
          <w:color w:val="auto"/>
          <w:sz w:val="32"/>
          <w:szCs w:val="32"/>
          <w:highlight w:val="none"/>
        </w:rPr>
        <w:t>环保管家服务子项目和安全生产技术服务子项目，由经开区管委会组织服务质量考评，考评结果为合格，完成及时。</w:t>
      </w:r>
      <w:r>
        <w:rPr>
          <w:rFonts w:hint="eastAsia" w:ascii="仿宋_GB2312" w:hAnsi="仿宋" w:eastAsia="仿宋_GB2312" w:cs="楷体"/>
          <w:color w:val="auto"/>
          <w:sz w:val="32"/>
          <w:szCs w:val="32"/>
          <w:highlight w:val="none"/>
          <w:lang w:val="en-US" w:eastAsia="zh-CN"/>
        </w:rPr>
        <w:t>突发环境事件应急预案编制技术服务项目，于2021年9月26日经过专家组评审并提出修改意见，并于2021年10月10日根据专家意见修改完善后，报至咸宁市生态环境局通城县分局备案。</w:t>
      </w:r>
    </w:p>
    <w:p>
      <w:pPr>
        <w:spacing w:line="560" w:lineRule="exact"/>
        <w:ind w:firstLine="615"/>
        <w:rPr>
          <w:rFonts w:ascii="仿宋_GB2312" w:hAnsi="仿宋" w:eastAsia="仿宋_GB2312" w:cs="楷体"/>
          <w:bCs/>
          <w:color w:val="auto"/>
          <w:sz w:val="32"/>
          <w:szCs w:val="32"/>
          <w:highlight w:val="none"/>
        </w:rPr>
      </w:pPr>
      <w:r>
        <w:rPr>
          <w:rFonts w:hint="eastAsia" w:ascii="仿宋_GB2312" w:hAnsi="仿宋" w:eastAsia="仿宋_GB2312" w:cs="楷体"/>
          <w:b/>
          <w:bCs/>
          <w:color w:val="auto"/>
          <w:sz w:val="32"/>
          <w:szCs w:val="32"/>
          <w:highlight w:val="none"/>
        </w:rPr>
        <w:t>评价得分：</w:t>
      </w:r>
      <w:r>
        <w:rPr>
          <w:rFonts w:hint="eastAsia" w:ascii="仿宋_GB2312" w:hAnsi="仿宋" w:eastAsia="仿宋_GB2312" w:cs="楷体"/>
          <w:bCs/>
          <w:color w:val="auto"/>
          <w:sz w:val="32"/>
          <w:szCs w:val="32"/>
          <w:highlight w:val="none"/>
        </w:rPr>
        <w:t>该项指标综合得分</w:t>
      </w:r>
      <w:r>
        <w:rPr>
          <w:rFonts w:hint="eastAsia" w:ascii="仿宋_GB2312" w:hAnsi="仿宋" w:eastAsia="仿宋_GB2312" w:cs="楷体"/>
          <w:bCs/>
          <w:color w:val="auto"/>
          <w:sz w:val="32"/>
          <w:szCs w:val="32"/>
          <w:highlight w:val="none"/>
          <w:lang w:val="en-US" w:eastAsia="zh-CN"/>
        </w:rPr>
        <w:t>为</w:t>
      </w:r>
      <w:r>
        <w:rPr>
          <w:rFonts w:hint="eastAsia" w:ascii="仿宋_GB2312" w:hAnsi="仿宋" w:eastAsia="仿宋_GB2312" w:cs="楷体"/>
          <w:color w:val="auto"/>
          <w:sz w:val="32"/>
          <w:szCs w:val="32"/>
          <w:highlight w:val="none"/>
          <w:lang w:val="en-US" w:eastAsia="zh-CN"/>
        </w:rPr>
        <w:t>满分7</w:t>
      </w:r>
      <w:r>
        <w:rPr>
          <w:rFonts w:hint="eastAsia" w:ascii="仿宋_GB2312" w:hAnsi="仿宋" w:eastAsia="仿宋_GB2312" w:cs="楷体"/>
          <w:bCs/>
          <w:color w:val="auto"/>
          <w:sz w:val="32"/>
          <w:szCs w:val="32"/>
          <w:highlight w:val="none"/>
        </w:rPr>
        <w:t>分。</w:t>
      </w:r>
    </w:p>
    <w:p>
      <w:pPr>
        <w:spacing w:line="560" w:lineRule="exact"/>
        <w:ind w:firstLine="615"/>
        <w:rPr>
          <w:rFonts w:ascii="仿宋_GB2312" w:hAnsi="仿宋" w:eastAsia="仿宋_GB2312" w:cs="楷体"/>
          <w:b/>
          <w:bCs/>
          <w:color w:val="auto"/>
          <w:sz w:val="32"/>
          <w:szCs w:val="32"/>
          <w:highlight w:val="none"/>
        </w:rPr>
      </w:pPr>
      <w:r>
        <w:rPr>
          <w:rFonts w:hint="eastAsia" w:ascii="仿宋_GB2312" w:hAnsi="仿宋" w:eastAsia="仿宋_GB2312" w:cs="楷体"/>
          <w:b/>
          <w:bCs/>
          <w:color w:val="auto"/>
          <w:sz w:val="32"/>
          <w:szCs w:val="32"/>
          <w:highlight w:val="none"/>
        </w:rPr>
        <w:t>（4）产出成本（标准分值</w:t>
      </w:r>
      <w:r>
        <w:rPr>
          <w:rFonts w:ascii="仿宋_GB2312" w:hAnsi="仿宋" w:eastAsia="仿宋_GB2312" w:cs="楷体"/>
          <w:b/>
          <w:bCs/>
          <w:color w:val="auto"/>
          <w:sz w:val="32"/>
          <w:szCs w:val="32"/>
          <w:highlight w:val="none"/>
        </w:rPr>
        <w:t>7</w:t>
      </w:r>
      <w:r>
        <w:rPr>
          <w:rFonts w:hint="eastAsia" w:ascii="仿宋_GB2312" w:hAnsi="仿宋" w:eastAsia="仿宋_GB2312" w:cs="楷体"/>
          <w:b/>
          <w:bCs/>
          <w:color w:val="auto"/>
          <w:sz w:val="32"/>
          <w:szCs w:val="32"/>
          <w:highlight w:val="none"/>
        </w:rPr>
        <w:t>分）</w:t>
      </w:r>
    </w:p>
    <w:p>
      <w:pPr>
        <w:spacing w:line="560" w:lineRule="exact"/>
        <w:ind w:firstLine="615"/>
        <w:rPr>
          <w:rFonts w:ascii="仿宋_GB2312" w:hAnsi="仿宋" w:eastAsia="仿宋_GB2312" w:cs="楷体"/>
          <w:bCs/>
          <w:color w:val="auto"/>
          <w:sz w:val="32"/>
          <w:szCs w:val="32"/>
          <w:highlight w:val="none"/>
        </w:rPr>
      </w:pPr>
      <w:r>
        <w:rPr>
          <w:rFonts w:hint="eastAsia" w:ascii="仿宋_GB2312" w:hAnsi="仿宋" w:eastAsia="仿宋_GB2312" w:cs="楷体"/>
          <w:b/>
          <w:bCs/>
          <w:color w:val="auto"/>
          <w:sz w:val="32"/>
          <w:szCs w:val="32"/>
          <w:highlight w:val="none"/>
        </w:rPr>
        <w:t>指标内容：</w:t>
      </w:r>
      <w:r>
        <w:rPr>
          <w:rFonts w:hint="eastAsia" w:ascii="仿宋_GB2312" w:hAnsi="仿宋" w:eastAsia="仿宋_GB2312" w:cs="楷体"/>
          <w:bCs/>
          <w:color w:val="auto"/>
          <w:sz w:val="32"/>
          <w:szCs w:val="32"/>
          <w:highlight w:val="none"/>
        </w:rPr>
        <w:t>完成项目计划工作目标的实际节约成本与计划成本的比率，用以反映和考核项目的成本节约程度。</w:t>
      </w:r>
    </w:p>
    <w:p>
      <w:pPr>
        <w:spacing w:line="560" w:lineRule="exact"/>
        <w:ind w:firstLine="612"/>
        <w:rPr>
          <w:rFonts w:hint="default" w:ascii="仿宋_GB2312" w:hAnsi="仿宋" w:eastAsia="仿宋_GB2312" w:cs="楷体"/>
          <w:color w:val="auto"/>
          <w:sz w:val="32"/>
          <w:szCs w:val="32"/>
          <w:highlight w:val="none"/>
          <w:lang w:val="en-US" w:eastAsia="zh-CN"/>
        </w:rPr>
      </w:pPr>
      <w:r>
        <w:rPr>
          <w:rFonts w:hint="eastAsia" w:ascii="仿宋_GB2312" w:hAnsi="仿宋" w:eastAsia="仿宋_GB2312" w:cs="楷体"/>
          <w:b/>
          <w:bCs/>
          <w:color w:val="auto"/>
          <w:sz w:val="32"/>
          <w:szCs w:val="32"/>
          <w:highlight w:val="none"/>
        </w:rPr>
        <w:t>指标完成：</w:t>
      </w:r>
      <w:r>
        <w:rPr>
          <w:rFonts w:hint="eastAsia" w:ascii="仿宋_GB2312" w:hAnsi="仿宋" w:eastAsia="仿宋_GB2312" w:cs="楷体"/>
          <w:color w:val="auto"/>
          <w:sz w:val="32"/>
          <w:szCs w:val="32"/>
          <w:highlight w:val="none"/>
        </w:rPr>
        <w:t>项目预算资金为45万元。截止2022年末，环保管家服务已拨付19万元、突发环境事件应急预案编制技术服务已拨付15万元、安全生产技术服务已拨付10万元</w:t>
      </w:r>
      <w:r>
        <w:rPr>
          <w:rFonts w:hint="eastAsia" w:ascii="仿宋_GB2312" w:hAnsi="仿宋" w:eastAsia="仿宋_GB2312" w:cs="楷体"/>
          <w:color w:val="auto"/>
          <w:sz w:val="32"/>
          <w:szCs w:val="32"/>
          <w:highlight w:val="none"/>
          <w:lang w:eastAsia="zh-CN"/>
        </w:rPr>
        <w:t>，</w:t>
      </w:r>
      <w:r>
        <w:rPr>
          <w:rFonts w:hint="eastAsia" w:ascii="仿宋_GB2312" w:hAnsi="仿宋" w:eastAsia="仿宋_GB2312" w:cs="楷体"/>
          <w:color w:val="auto"/>
          <w:sz w:val="32"/>
          <w:szCs w:val="32"/>
          <w:highlight w:val="none"/>
        </w:rPr>
        <w:t>合计拨付44万元</w:t>
      </w:r>
      <w:r>
        <w:rPr>
          <w:rFonts w:hint="eastAsia" w:ascii="仿宋_GB2312" w:hAnsi="仿宋" w:eastAsia="仿宋_GB2312" w:cs="楷体"/>
          <w:color w:val="auto"/>
          <w:sz w:val="32"/>
          <w:szCs w:val="32"/>
          <w:highlight w:val="none"/>
          <w:lang w:eastAsia="zh-CN"/>
        </w:rPr>
        <w:t>，</w:t>
      </w:r>
      <w:r>
        <w:rPr>
          <w:rFonts w:hint="eastAsia" w:ascii="仿宋_GB2312" w:hAnsi="仿宋" w:eastAsia="仿宋_GB2312" w:cs="楷体"/>
          <w:color w:val="auto"/>
          <w:sz w:val="32"/>
          <w:szCs w:val="32"/>
          <w:highlight w:val="none"/>
          <w:lang w:val="en-US" w:eastAsia="zh-CN"/>
        </w:rPr>
        <w:t>未超出预算范围</w:t>
      </w:r>
      <w:r>
        <w:rPr>
          <w:rFonts w:hint="eastAsia" w:ascii="仿宋_GB2312" w:hAnsi="仿宋" w:eastAsia="仿宋_GB2312" w:cs="楷体"/>
          <w:color w:val="auto"/>
          <w:sz w:val="32"/>
          <w:szCs w:val="32"/>
          <w:highlight w:val="none"/>
        </w:rPr>
        <w:t>。</w:t>
      </w:r>
      <w:r>
        <w:rPr>
          <w:rFonts w:hint="eastAsia" w:ascii="仿宋_GB2312" w:hAnsi="仿宋" w:eastAsia="仿宋_GB2312" w:cs="楷体"/>
          <w:color w:val="auto"/>
          <w:sz w:val="32"/>
          <w:szCs w:val="32"/>
          <w:highlight w:val="none"/>
          <w:lang w:val="en-US" w:eastAsia="zh-CN"/>
        </w:rPr>
        <w:t>但项目合同约定价款分别为</w:t>
      </w:r>
      <w:r>
        <w:rPr>
          <w:rFonts w:hint="eastAsia" w:ascii="仿宋_GB2312" w:hAnsi="仿宋" w:eastAsia="仿宋_GB2312"/>
          <w:color w:val="auto"/>
          <w:sz w:val="32"/>
          <w:szCs w:val="32"/>
          <w:highlight w:val="none"/>
        </w:rPr>
        <w:t>环保管家服务费19万元，突发环境事件应急预案编制技术服务费15万元，通城经济开发区安全生产技术服务费20万元</w:t>
      </w:r>
      <w:r>
        <w:rPr>
          <w:rFonts w:hint="eastAsia" w:ascii="仿宋_GB2312" w:hAnsi="仿宋" w:eastAsia="仿宋_GB2312"/>
          <w:color w:val="auto"/>
          <w:sz w:val="32"/>
          <w:szCs w:val="32"/>
          <w:highlight w:val="none"/>
          <w:lang w:eastAsia="zh-CN"/>
        </w:rPr>
        <w:t>，</w:t>
      </w:r>
      <w:r>
        <w:rPr>
          <w:rFonts w:hint="eastAsia" w:ascii="仿宋_GB2312" w:hAnsi="仿宋" w:eastAsia="仿宋_GB2312"/>
          <w:color w:val="auto"/>
          <w:sz w:val="32"/>
          <w:szCs w:val="32"/>
          <w:highlight w:val="none"/>
          <w:lang w:val="en-US" w:eastAsia="zh-CN"/>
        </w:rPr>
        <w:t>项目实际成本合计54万元。</w:t>
      </w:r>
    </w:p>
    <w:p>
      <w:pPr>
        <w:spacing w:line="560" w:lineRule="exact"/>
        <w:ind w:firstLine="612"/>
        <w:rPr>
          <w:rFonts w:ascii="仿宋_GB2312" w:hAnsi="仿宋" w:eastAsia="仿宋_GB2312" w:cs="楷体"/>
          <w:color w:val="auto"/>
          <w:sz w:val="32"/>
          <w:szCs w:val="32"/>
          <w:highlight w:val="none"/>
        </w:rPr>
      </w:pPr>
      <w:r>
        <w:rPr>
          <w:rFonts w:hint="eastAsia" w:ascii="仿宋_GB2312" w:hAnsi="仿宋" w:eastAsia="仿宋_GB2312" w:cs="楷体"/>
          <w:color w:val="auto"/>
          <w:sz w:val="32"/>
          <w:szCs w:val="32"/>
          <w:highlight w:val="none"/>
        </w:rPr>
        <w:t>项目成本节约率</w:t>
      </w:r>
      <w:r>
        <w:rPr>
          <w:rFonts w:hint="eastAsia" w:ascii="仿宋_GB2312" w:hAnsi="仿宋" w:eastAsia="仿宋_GB2312" w:cs="楷体"/>
          <w:color w:val="auto"/>
          <w:sz w:val="32"/>
          <w:szCs w:val="32"/>
          <w:highlight w:val="none"/>
          <w:lang w:eastAsia="zh-CN"/>
        </w:rPr>
        <w:t>：</w:t>
      </w:r>
      <w:r>
        <w:rPr>
          <w:rFonts w:hint="eastAsia" w:ascii="仿宋_GB2312" w:hAnsi="仿宋" w:eastAsia="仿宋_GB2312" w:cs="楷体"/>
          <w:color w:val="auto"/>
          <w:sz w:val="32"/>
          <w:szCs w:val="32"/>
          <w:highlight w:val="none"/>
        </w:rPr>
        <w:t>（45-</w:t>
      </w:r>
      <w:r>
        <w:rPr>
          <w:rFonts w:hint="eastAsia" w:ascii="仿宋_GB2312" w:hAnsi="仿宋" w:eastAsia="仿宋_GB2312" w:cs="楷体"/>
          <w:color w:val="auto"/>
          <w:sz w:val="32"/>
          <w:szCs w:val="32"/>
          <w:highlight w:val="none"/>
          <w:lang w:val="en-US" w:eastAsia="zh-CN"/>
        </w:rPr>
        <w:t>5</w:t>
      </w:r>
      <w:r>
        <w:rPr>
          <w:rFonts w:hint="eastAsia" w:ascii="仿宋_GB2312" w:hAnsi="仿宋" w:eastAsia="仿宋_GB2312" w:cs="楷体"/>
          <w:color w:val="auto"/>
          <w:sz w:val="32"/>
          <w:szCs w:val="32"/>
          <w:highlight w:val="none"/>
        </w:rPr>
        <w:t>4）/45*100*=</w:t>
      </w:r>
      <w:r>
        <w:rPr>
          <w:rFonts w:hint="eastAsia" w:ascii="仿宋_GB2312" w:hAnsi="仿宋" w:eastAsia="仿宋_GB2312" w:cs="楷体"/>
          <w:color w:val="auto"/>
          <w:sz w:val="32"/>
          <w:szCs w:val="32"/>
          <w:highlight w:val="none"/>
          <w:lang w:val="en-US" w:eastAsia="zh-CN"/>
        </w:rPr>
        <w:t>-20</w:t>
      </w:r>
      <w:r>
        <w:rPr>
          <w:rFonts w:hint="eastAsia" w:ascii="仿宋_GB2312" w:hAnsi="仿宋" w:eastAsia="仿宋_GB2312" w:cs="楷体"/>
          <w:color w:val="auto"/>
          <w:sz w:val="32"/>
          <w:szCs w:val="32"/>
          <w:highlight w:val="none"/>
        </w:rPr>
        <w:t>%。</w:t>
      </w:r>
    </w:p>
    <w:p>
      <w:pPr>
        <w:spacing w:line="560" w:lineRule="exact"/>
        <w:ind w:firstLine="615"/>
        <w:rPr>
          <w:rFonts w:ascii="仿宋_GB2312" w:hAnsi="仿宋" w:eastAsia="仿宋_GB2312" w:cs="楷体"/>
          <w:bCs/>
          <w:color w:val="auto"/>
          <w:sz w:val="32"/>
          <w:szCs w:val="32"/>
          <w:highlight w:val="none"/>
        </w:rPr>
      </w:pPr>
      <w:r>
        <w:rPr>
          <w:rFonts w:hint="eastAsia" w:ascii="仿宋_GB2312" w:hAnsi="仿宋" w:eastAsia="仿宋_GB2312" w:cs="楷体"/>
          <w:b/>
          <w:bCs/>
          <w:color w:val="auto"/>
          <w:sz w:val="32"/>
          <w:szCs w:val="32"/>
          <w:highlight w:val="none"/>
        </w:rPr>
        <w:t>评价得分：</w:t>
      </w:r>
      <w:r>
        <w:rPr>
          <w:rFonts w:hint="eastAsia" w:ascii="仿宋_GB2312" w:hAnsi="仿宋" w:eastAsia="仿宋_GB2312" w:cs="楷体"/>
          <w:bCs/>
          <w:color w:val="auto"/>
          <w:sz w:val="32"/>
          <w:szCs w:val="32"/>
          <w:highlight w:val="none"/>
          <w:lang w:val="en-US" w:eastAsia="zh-CN"/>
        </w:rPr>
        <w:t>根据评分标准，</w:t>
      </w:r>
      <w:r>
        <w:rPr>
          <w:rFonts w:hint="eastAsia" w:ascii="仿宋_GB2312" w:hAnsi="仿宋" w:eastAsia="仿宋_GB2312" w:cs="楷体"/>
          <w:bCs/>
          <w:color w:val="auto"/>
          <w:sz w:val="32"/>
          <w:szCs w:val="32"/>
          <w:highlight w:val="none"/>
        </w:rPr>
        <w:t>该项指标得分</w:t>
      </w:r>
      <w:r>
        <w:rPr>
          <w:rFonts w:hint="eastAsia" w:ascii="仿宋_GB2312" w:hAnsi="仿宋" w:eastAsia="仿宋_GB2312" w:cs="楷体"/>
          <w:bCs/>
          <w:color w:val="auto"/>
          <w:sz w:val="32"/>
          <w:szCs w:val="32"/>
          <w:highlight w:val="none"/>
          <w:lang w:val="en-US" w:eastAsia="zh-CN"/>
        </w:rPr>
        <w:t>为0</w:t>
      </w:r>
      <w:r>
        <w:rPr>
          <w:rFonts w:hint="eastAsia" w:ascii="仿宋_GB2312" w:hAnsi="仿宋" w:eastAsia="仿宋_GB2312" w:cs="楷体"/>
          <w:bCs/>
          <w:color w:val="auto"/>
          <w:sz w:val="32"/>
          <w:szCs w:val="32"/>
          <w:highlight w:val="none"/>
        </w:rPr>
        <w:t>分。</w:t>
      </w:r>
    </w:p>
    <w:p>
      <w:pPr>
        <w:spacing w:line="560" w:lineRule="exact"/>
        <w:ind w:firstLine="615"/>
        <w:outlineLvl w:val="2"/>
        <w:rPr>
          <w:rFonts w:ascii="仿宋_GB2312" w:hAnsi="仿宋" w:eastAsia="仿宋_GB2312"/>
          <w:color w:val="auto"/>
          <w:sz w:val="32"/>
          <w:szCs w:val="32"/>
          <w:highlight w:val="none"/>
        </w:rPr>
      </w:pPr>
      <w:bookmarkStart w:id="57" w:name="_Toc20210"/>
      <w:bookmarkStart w:id="58" w:name="_Toc32490"/>
      <w:r>
        <w:rPr>
          <w:rFonts w:hint="eastAsia" w:ascii="仿宋_GB2312" w:hAnsi="仿宋" w:eastAsia="仿宋_GB2312" w:cs="楷体"/>
          <w:b/>
          <w:bCs/>
          <w:color w:val="auto"/>
          <w:sz w:val="32"/>
          <w:szCs w:val="32"/>
          <w:highlight w:val="none"/>
        </w:rPr>
        <w:t>4.效果分析</w:t>
      </w:r>
      <w:bookmarkEnd w:id="57"/>
      <w:bookmarkEnd w:id="58"/>
    </w:p>
    <w:p>
      <w:pPr>
        <w:spacing w:line="560" w:lineRule="exact"/>
        <w:ind w:firstLine="643" w:firstLineChars="200"/>
        <w:rPr>
          <w:rFonts w:ascii="仿宋_GB2312" w:hAnsi="仿宋" w:eastAsia="仿宋_GB2312"/>
          <w:b/>
          <w:bCs/>
          <w:color w:val="auto"/>
          <w:sz w:val="32"/>
          <w:szCs w:val="32"/>
          <w:highlight w:val="none"/>
        </w:rPr>
      </w:pPr>
      <w:r>
        <w:rPr>
          <w:rFonts w:hint="eastAsia" w:ascii="仿宋_GB2312" w:hAnsi="仿宋" w:eastAsia="仿宋_GB2312"/>
          <w:b/>
          <w:bCs/>
          <w:color w:val="auto"/>
          <w:sz w:val="32"/>
          <w:szCs w:val="32"/>
          <w:highlight w:val="none"/>
        </w:rPr>
        <w:t>（</w:t>
      </w:r>
      <w:r>
        <w:rPr>
          <w:rFonts w:ascii="仿宋_GB2312" w:hAnsi="仿宋" w:eastAsia="仿宋_GB2312"/>
          <w:b/>
          <w:bCs/>
          <w:color w:val="auto"/>
          <w:sz w:val="32"/>
          <w:szCs w:val="32"/>
          <w:highlight w:val="none"/>
        </w:rPr>
        <w:t>1</w:t>
      </w:r>
      <w:r>
        <w:rPr>
          <w:rFonts w:hint="eastAsia" w:ascii="仿宋_GB2312" w:hAnsi="仿宋" w:eastAsia="仿宋_GB2312"/>
          <w:b/>
          <w:bCs/>
          <w:color w:val="auto"/>
          <w:sz w:val="32"/>
          <w:szCs w:val="32"/>
          <w:highlight w:val="none"/>
        </w:rPr>
        <w:t>）社会效益指标（标准分值</w:t>
      </w:r>
      <w:r>
        <w:rPr>
          <w:rFonts w:ascii="仿宋_GB2312" w:hAnsi="仿宋" w:eastAsia="仿宋_GB2312"/>
          <w:b/>
          <w:bCs/>
          <w:color w:val="auto"/>
          <w:sz w:val="32"/>
          <w:szCs w:val="32"/>
          <w:highlight w:val="none"/>
        </w:rPr>
        <w:t>5</w:t>
      </w:r>
      <w:r>
        <w:rPr>
          <w:rFonts w:hint="eastAsia" w:ascii="仿宋_GB2312" w:hAnsi="仿宋" w:eastAsia="仿宋_GB2312"/>
          <w:b/>
          <w:bCs/>
          <w:color w:val="auto"/>
          <w:sz w:val="32"/>
          <w:szCs w:val="32"/>
          <w:highlight w:val="none"/>
        </w:rPr>
        <w:t>分）</w:t>
      </w:r>
    </w:p>
    <w:p>
      <w:pPr>
        <w:spacing w:line="560" w:lineRule="exact"/>
        <w:ind w:firstLine="643" w:firstLineChars="200"/>
        <w:rPr>
          <w:rFonts w:ascii="仿宋_GB2312" w:hAnsi="仿宋" w:eastAsia="仿宋_GB2312"/>
          <w:bCs/>
          <w:color w:val="auto"/>
          <w:sz w:val="32"/>
          <w:szCs w:val="32"/>
          <w:highlight w:val="none"/>
        </w:rPr>
      </w:pPr>
      <w:r>
        <w:rPr>
          <w:rFonts w:hint="eastAsia" w:ascii="仿宋_GB2312" w:hAnsi="仿宋" w:eastAsia="仿宋_GB2312"/>
          <w:b/>
          <w:bCs/>
          <w:color w:val="auto"/>
          <w:sz w:val="32"/>
          <w:szCs w:val="32"/>
          <w:highlight w:val="none"/>
        </w:rPr>
        <w:t>指标内容：</w:t>
      </w:r>
      <w:r>
        <w:rPr>
          <w:rFonts w:hint="eastAsia" w:ascii="仿宋_GB2312" w:hAnsi="仿宋" w:eastAsia="仿宋_GB2312"/>
          <w:bCs/>
          <w:color w:val="auto"/>
          <w:sz w:val="32"/>
          <w:szCs w:val="32"/>
          <w:highlight w:val="none"/>
        </w:rPr>
        <w:t>项目实施对通城经开区社会发展所产生的直接或者间接影响。</w:t>
      </w:r>
    </w:p>
    <w:p>
      <w:pPr>
        <w:spacing w:line="560" w:lineRule="exact"/>
        <w:ind w:firstLine="643" w:firstLineChars="200"/>
        <w:rPr>
          <w:rFonts w:hint="eastAsia" w:ascii="仿宋_GB2312" w:hAnsi="仿宋" w:eastAsia="仿宋_GB2312" w:cs="楷体"/>
          <w:color w:val="auto"/>
          <w:sz w:val="32"/>
          <w:szCs w:val="32"/>
          <w:highlight w:val="none"/>
        </w:rPr>
      </w:pPr>
      <w:r>
        <w:rPr>
          <w:rFonts w:hint="eastAsia" w:ascii="仿宋_GB2312" w:hAnsi="仿宋" w:eastAsia="仿宋_GB2312"/>
          <w:b/>
          <w:color w:val="auto"/>
          <w:sz w:val="32"/>
          <w:szCs w:val="32"/>
          <w:highlight w:val="none"/>
        </w:rPr>
        <w:t>评价分析：</w:t>
      </w:r>
      <w:r>
        <w:rPr>
          <w:rFonts w:hint="eastAsia" w:ascii="仿宋_GB2312" w:hAnsi="仿宋" w:eastAsia="仿宋_GB2312" w:cs="楷体"/>
          <w:color w:val="auto"/>
          <w:sz w:val="32"/>
          <w:szCs w:val="32"/>
          <w:highlight w:val="none"/>
        </w:rPr>
        <w:t>环保管家服务、安全生产技术服务子项目，由经开区管委会组织考评合格，已实际完成。项目实施推动经开区稳定、高效发展，给企业创造良好的经营环境，促进当地就业增长</w:t>
      </w:r>
      <w:r>
        <w:rPr>
          <w:rFonts w:hint="eastAsia" w:ascii="仿宋_GB2312" w:hAnsi="仿宋" w:eastAsia="仿宋_GB2312" w:cs="楷体"/>
          <w:color w:val="auto"/>
          <w:sz w:val="32"/>
          <w:szCs w:val="32"/>
          <w:highlight w:val="none"/>
          <w:lang w:eastAsia="zh-CN"/>
        </w:rPr>
        <w:t>。</w:t>
      </w:r>
    </w:p>
    <w:p>
      <w:pPr>
        <w:spacing w:line="560" w:lineRule="exact"/>
        <w:ind w:firstLine="643" w:firstLineChars="200"/>
        <w:rPr>
          <w:rFonts w:ascii="仿宋_GB2312" w:hAnsi="仿宋" w:eastAsia="仿宋_GB2312"/>
          <w:bCs/>
          <w:color w:val="auto"/>
          <w:sz w:val="32"/>
          <w:szCs w:val="32"/>
          <w:highlight w:val="none"/>
        </w:rPr>
      </w:pPr>
      <w:r>
        <w:rPr>
          <w:rFonts w:hint="eastAsia" w:ascii="仿宋_GB2312" w:hAnsi="仿宋" w:eastAsia="仿宋_GB2312"/>
          <w:b/>
          <w:color w:val="auto"/>
          <w:sz w:val="32"/>
          <w:szCs w:val="32"/>
          <w:highlight w:val="none"/>
        </w:rPr>
        <w:t>评价得分：</w:t>
      </w:r>
      <w:r>
        <w:rPr>
          <w:rFonts w:hint="eastAsia" w:ascii="仿宋_GB2312" w:hAnsi="仿宋" w:eastAsia="仿宋_GB2312" w:cs="楷体"/>
          <w:bCs/>
          <w:color w:val="auto"/>
          <w:sz w:val="32"/>
          <w:szCs w:val="32"/>
          <w:highlight w:val="none"/>
        </w:rPr>
        <w:t>该项指标综合得分</w:t>
      </w:r>
      <w:r>
        <w:rPr>
          <w:rFonts w:hint="eastAsia" w:ascii="仿宋_GB2312" w:hAnsi="仿宋" w:eastAsia="仿宋_GB2312" w:cs="楷体"/>
          <w:bCs/>
          <w:color w:val="auto"/>
          <w:sz w:val="32"/>
          <w:szCs w:val="32"/>
          <w:highlight w:val="none"/>
          <w:lang w:val="en-US" w:eastAsia="zh-CN"/>
        </w:rPr>
        <w:t>为满分5</w:t>
      </w:r>
      <w:r>
        <w:rPr>
          <w:rFonts w:hint="eastAsia" w:ascii="仿宋_GB2312" w:hAnsi="仿宋" w:eastAsia="仿宋_GB2312" w:cs="楷体"/>
          <w:bCs/>
          <w:color w:val="auto"/>
          <w:sz w:val="32"/>
          <w:szCs w:val="32"/>
          <w:highlight w:val="none"/>
        </w:rPr>
        <w:t>分。</w:t>
      </w:r>
    </w:p>
    <w:p>
      <w:pPr>
        <w:spacing w:line="560" w:lineRule="exact"/>
        <w:ind w:firstLine="560"/>
        <w:rPr>
          <w:rFonts w:ascii="仿宋_GB2312" w:hAnsi="仿宋" w:eastAsia="仿宋_GB2312" w:cs="楷体"/>
          <w:b/>
          <w:bCs/>
          <w:color w:val="auto"/>
          <w:sz w:val="32"/>
          <w:szCs w:val="32"/>
          <w:highlight w:val="none"/>
        </w:rPr>
      </w:pPr>
      <w:r>
        <w:rPr>
          <w:rFonts w:hint="eastAsia" w:ascii="仿宋_GB2312" w:hAnsi="仿宋" w:eastAsia="仿宋_GB2312" w:cs="楷体"/>
          <w:b/>
          <w:bCs/>
          <w:color w:val="auto"/>
          <w:sz w:val="32"/>
          <w:szCs w:val="32"/>
          <w:highlight w:val="none"/>
        </w:rPr>
        <w:t>（</w:t>
      </w:r>
      <w:r>
        <w:rPr>
          <w:rFonts w:ascii="仿宋_GB2312" w:hAnsi="仿宋" w:eastAsia="仿宋_GB2312" w:cs="楷体"/>
          <w:b/>
          <w:bCs/>
          <w:color w:val="auto"/>
          <w:sz w:val="32"/>
          <w:szCs w:val="32"/>
          <w:highlight w:val="none"/>
        </w:rPr>
        <w:t>2</w:t>
      </w:r>
      <w:r>
        <w:rPr>
          <w:rFonts w:hint="eastAsia" w:ascii="仿宋_GB2312" w:hAnsi="仿宋" w:eastAsia="仿宋_GB2312" w:cs="楷体"/>
          <w:b/>
          <w:bCs/>
          <w:color w:val="auto"/>
          <w:sz w:val="32"/>
          <w:szCs w:val="32"/>
          <w:highlight w:val="none"/>
        </w:rPr>
        <w:t>）经济效益指标（标准分值</w:t>
      </w:r>
      <w:r>
        <w:rPr>
          <w:rFonts w:ascii="仿宋_GB2312" w:hAnsi="仿宋" w:eastAsia="仿宋_GB2312" w:cs="楷体"/>
          <w:b/>
          <w:bCs/>
          <w:color w:val="auto"/>
          <w:sz w:val="32"/>
          <w:szCs w:val="32"/>
          <w:highlight w:val="none"/>
        </w:rPr>
        <w:t>5</w:t>
      </w:r>
      <w:r>
        <w:rPr>
          <w:rFonts w:hint="eastAsia" w:ascii="仿宋_GB2312" w:hAnsi="仿宋" w:eastAsia="仿宋_GB2312" w:cs="楷体"/>
          <w:b/>
          <w:bCs/>
          <w:color w:val="auto"/>
          <w:sz w:val="32"/>
          <w:szCs w:val="32"/>
          <w:highlight w:val="none"/>
        </w:rPr>
        <w:t>分）</w:t>
      </w:r>
    </w:p>
    <w:p>
      <w:pPr>
        <w:spacing w:line="560" w:lineRule="exact"/>
        <w:ind w:firstLine="560"/>
        <w:rPr>
          <w:rFonts w:ascii="仿宋_GB2312" w:hAnsi="仿宋" w:eastAsia="仿宋_GB2312" w:cs="楷体"/>
          <w:bCs/>
          <w:color w:val="auto"/>
          <w:sz w:val="32"/>
          <w:szCs w:val="32"/>
          <w:highlight w:val="none"/>
        </w:rPr>
      </w:pPr>
      <w:r>
        <w:rPr>
          <w:rFonts w:hint="eastAsia" w:ascii="仿宋_GB2312" w:hAnsi="仿宋" w:eastAsia="仿宋_GB2312" w:cs="楷体"/>
          <w:b/>
          <w:bCs/>
          <w:color w:val="auto"/>
          <w:sz w:val="32"/>
          <w:szCs w:val="32"/>
          <w:highlight w:val="none"/>
        </w:rPr>
        <w:t>指标内容：</w:t>
      </w:r>
      <w:r>
        <w:rPr>
          <w:rFonts w:hint="eastAsia" w:ascii="仿宋_GB2312" w:hAnsi="仿宋" w:eastAsia="仿宋_GB2312" w:cs="楷体"/>
          <w:bCs/>
          <w:color w:val="auto"/>
          <w:sz w:val="32"/>
          <w:szCs w:val="32"/>
          <w:highlight w:val="none"/>
        </w:rPr>
        <w:t>项目实施对通城经开区经济发展所产生的直接或者间接影响。</w:t>
      </w:r>
    </w:p>
    <w:p>
      <w:pPr>
        <w:spacing w:line="560" w:lineRule="exact"/>
        <w:ind w:firstLine="560"/>
        <w:rPr>
          <w:rFonts w:hint="eastAsia" w:ascii="仿宋_GB2312" w:hAnsi="仿宋" w:eastAsia="仿宋_GB2312" w:cs="楷体"/>
          <w:color w:val="auto"/>
          <w:sz w:val="32"/>
          <w:szCs w:val="32"/>
          <w:highlight w:val="none"/>
        </w:rPr>
      </w:pPr>
      <w:r>
        <w:rPr>
          <w:rFonts w:hint="eastAsia" w:ascii="仿宋_GB2312" w:hAnsi="仿宋" w:eastAsia="仿宋_GB2312" w:cs="楷体"/>
          <w:b/>
          <w:bCs/>
          <w:color w:val="auto"/>
          <w:sz w:val="32"/>
          <w:szCs w:val="32"/>
          <w:highlight w:val="none"/>
        </w:rPr>
        <w:t>评价分析：</w:t>
      </w:r>
      <w:r>
        <w:rPr>
          <w:rFonts w:hint="eastAsia" w:ascii="仿宋_GB2312" w:hAnsi="仿宋" w:eastAsia="仿宋_GB2312" w:cs="楷体"/>
          <w:color w:val="auto"/>
          <w:sz w:val="32"/>
          <w:szCs w:val="32"/>
          <w:highlight w:val="none"/>
        </w:rPr>
        <w:t>环保管家服务、安全生产技术服务子项目，由经开区管委会组织考评合格，已实际完成。项目实施带动经开区、企业和居民收入增长，对促进经开区经济发展有提升作用。</w:t>
      </w:r>
    </w:p>
    <w:p>
      <w:pPr>
        <w:spacing w:line="560" w:lineRule="exact"/>
        <w:ind w:firstLine="560"/>
        <w:rPr>
          <w:rFonts w:ascii="仿宋_GB2312" w:hAnsi="仿宋" w:eastAsia="仿宋_GB2312" w:cs="楷体"/>
          <w:bCs/>
          <w:color w:val="auto"/>
          <w:sz w:val="32"/>
          <w:szCs w:val="32"/>
          <w:highlight w:val="none"/>
        </w:rPr>
      </w:pPr>
      <w:r>
        <w:rPr>
          <w:rFonts w:hint="eastAsia" w:ascii="仿宋_GB2312" w:hAnsi="仿宋" w:eastAsia="仿宋_GB2312" w:cs="楷体"/>
          <w:b/>
          <w:bCs/>
          <w:color w:val="auto"/>
          <w:sz w:val="32"/>
          <w:szCs w:val="32"/>
          <w:highlight w:val="none"/>
        </w:rPr>
        <w:t>评价得分：</w:t>
      </w:r>
      <w:r>
        <w:rPr>
          <w:rFonts w:hint="eastAsia" w:ascii="仿宋_GB2312" w:hAnsi="仿宋" w:eastAsia="仿宋_GB2312" w:cs="楷体"/>
          <w:bCs/>
          <w:color w:val="auto"/>
          <w:sz w:val="32"/>
          <w:szCs w:val="32"/>
          <w:highlight w:val="none"/>
        </w:rPr>
        <w:t>该项指标综合得分</w:t>
      </w:r>
      <w:r>
        <w:rPr>
          <w:rFonts w:hint="eastAsia" w:ascii="仿宋_GB2312" w:hAnsi="仿宋" w:eastAsia="仿宋_GB2312" w:cs="楷体"/>
          <w:bCs/>
          <w:color w:val="auto"/>
          <w:sz w:val="32"/>
          <w:szCs w:val="32"/>
          <w:highlight w:val="none"/>
          <w:lang w:val="en-US" w:eastAsia="zh-CN"/>
        </w:rPr>
        <w:t>为满分5</w:t>
      </w:r>
      <w:r>
        <w:rPr>
          <w:rFonts w:hint="eastAsia" w:ascii="仿宋_GB2312" w:hAnsi="仿宋" w:eastAsia="仿宋_GB2312" w:cs="楷体"/>
          <w:bCs/>
          <w:color w:val="auto"/>
          <w:sz w:val="32"/>
          <w:szCs w:val="32"/>
          <w:highlight w:val="none"/>
        </w:rPr>
        <w:t>分。</w:t>
      </w:r>
    </w:p>
    <w:p>
      <w:pPr>
        <w:spacing w:line="560" w:lineRule="exact"/>
        <w:ind w:firstLine="560"/>
        <w:rPr>
          <w:rFonts w:ascii="仿宋_GB2312" w:hAnsi="仿宋" w:eastAsia="仿宋_GB2312" w:cs="楷体"/>
          <w:b/>
          <w:bCs/>
          <w:color w:val="auto"/>
          <w:sz w:val="32"/>
          <w:szCs w:val="32"/>
          <w:highlight w:val="none"/>
        </w:rPr>
      </w:pPr>
      <w:r>
        <w:rPr>
          <w:rFonts w:hint="eastAsia" w:ascii="仿宋_GB2312" w:hAnsi="仿宋" w:eastAsia="仿宋_GB2312" w:cs="楷体"/>
          <w:b/>
          <w:bCs/>
          <w:color w:val="auto"/>
          <w:sz w:val="32"/>
          <w:szCs w:val="32"/>
          <w:highlight w:val="none"/>
        </w:rPr>
        <w:t>（</w:t>
      </w:r>
      <w:r>
        <w:rPr>
          <w:rFonts w:ascii="仿宋_GB2312" w:hAnsi="仿宋" w:eastAsia="仿宋_GB2312" w:cs="楷体"/>
          <w:b/>
          <w:bCs/>
          <w:color w:val="auto"/>
          <w:sz w:val="32"/>
          <w:szCs w:val="32"/>
          <w:highlight w:val="none"/>
        </w:rPr>
        <w:t>3</w:t>
      </w:r>
      <w:r>
        <w:rPr>
          <w:rFonts w:hint="eastAsia" w:ascii="仿宋_GB2312" w:hAnsi="仿宋" w:eastAsia="仿宋_GB2312" w:cs="楷体"/>
          <w:b/>
          <w:bCs/>
          <w:color w:val="auto"/>
          <w:sz w:val="32"/>
          <w:szCs w:val="32"/>
          <w:highlight w:val="none"/>
        </w:rPr>
        <w:t>）生态效益指标（标准分值</w:t>
      </w:r>
      <w:r>
        <w:rPr>
          <w:rFonts w:ascii="仿宋_GB2312" w:hAnsi="仿宋" w:eastAsia="仿宋_GB2312" w:cs="楷体"/>
          <w:b/>
          <w:bCs/>
          <w:color w:val="auto"/>
          <w:sz w:val="32"/>
          <w:szCs w:val="32"/>
          <w:highlight w:val="none"/>
        </w:rPr>
        <w:t>5</w:t>
      </w:r>
      <w:r>
        <w:rPr>
          <w:rFonts w:hint="eastAsia" w:ascii="仿宋_GB2312" w:hAnsi="仿宋" w:eastAsia="仿宋_GB2312" w:cs="楷体"/>
          <w:b/>
          <w:bCs/>
          <w:color w:val="auto"/>
          <w:sz w:val="32"/>
          <w:szCs w:val="32"/>
          <w:highlight w:val="none"/>
        </w:rPr>
        <w:t>分）</w:t>
      </w:r>
    </w:p>
    <w:p>
      <w:pPr>
        <w:spacing w:line="560" w:lineRule="exact"/>
        <w:ind w:firstLine="560"/>
        <w:rPr>
          <w:rFonts w:ascii="仿宋_GB2312" w:hAnsi="仿宋" w:eastAsia="仿宋_GB2312" w:cs="楷体"/>
          <w:bCs/>
          <w:color w:val="auto"/>
          <w:sz w:val="32"/>
          <w:szCs w:val="32"/>
          <w:highlight w:val="none"/>
        </w:rPr>
      </w:pPr>
      <w:r>
        <w:rPr>
          <w:rFonts w:hint="eastAsia" w:ascii="仿宋_GB2312" w:hAnsi="仿宋" w:eastAsia="仿宋_GB2312" w:cs="楷体"/>
          <w:b/>
          <w:bCs/>
          <w:color w:val="auto"/>
          <w:sz w:val="32"/>
          <w:szCs w:val="32"/>
          <w:highlight w:val="none"/>
        </w:rPr>
        <w:t>指标内容：</w:t>
      </w:r>
      <w:r>
        <w:rPr>
          <w:rFonts w:hint="eastAsia" w:ascii="仿宋_GB2312" w:hAnsi="仿宋" w:eastAsia="仿宋_GB2312" w:cs="楷体"/>
          <w:bCs/>
          <w:color w:val="auto"/>
          <w:sz w:val="32"/>
          <w:szCs w:val="32"/>
          <w:highlight w:val="none"/>
        </w:rPr>
        <w:t>项目实施对通城经开区生态环境带来的直接或间接影响。</w:t>
      </w:r>
    </w:p>
    <w:p>
      <w:pPr>
        <w:spacing w:line="560" w:lineRule="exact"/>
        <w:ind w:firstLine="560"/>
        <w:rPr>
          <w:rFonts w:ascii="仿宋_GB2312" w:hAnsi="仿宋" w:eastAsia="仿宋_GB2312" w:cs="楷体"/>
          <w:color w:val="auto"/>
          <w:sz w:val="32"/>
          <w:szCs w:val="32"/>
          <w:highlight w:val="none"/>
        </w:rPr>
      </w:pPr>
      <w:r>
        <w:rPr>
          <w:rFonts w:hint="eastAsia" w:ascii="仿宋_GB2312" w:hAnsi="仿宋" w:eastAsia="仿宋_GB2312" w:cs="楷体"/>
          <w:b/>
          <w:bCs/>
          <w:color w:val="auto"/>
          <w:sz w:val="32"/>
          <w:szCs w:val="32"/>
          <w:highlight w:val="none"/>
        </w:rPr>
        <w:t>评价分析：</w:t>
      </w:r>
      <w:r>
        <w:rPr>
          <w:rFonts w:hint="eastAsia" w:ascii="仿宋_GB2312" w:hAnsi="仿宋" w:eastAsia="仿宋_GB2312" w:cs="楷体"/>
          <w:color w:val="auto"/>
          <w:sz w:val="32"/>
          <w:szCs w:val="32"/>
          <w:highlight w:val="none"/>
        </w:rPr>
        <w:t>环保管家服务、安全生产技术服务子项目的实施，促进了开发区生态环境改善，提高企业废弃物科学处理能力。</w:t>
      </w:r>
    </w:p>
    <w:p>
      <w:pPr>
        <w:spacing w:line="560" w:lineRule="exact"/>
        <w:ind w:firstLine="560"/>
        <w:rPr>
          <w:rFonts w:ascii="仿宋_GB2312" w:hAnsi="仿宋" w:eastAsia="仿宋_GB2312" w:cs="楷体"/>
          <w:bCs/>
          <w:color w:val="auto"/>
          <w:sz w:val="32"/>
          <w:szCs w:val="32"/>
          <w:highlight w:val="none"/>
        </w:rPr>
      </w:pPr>
      <w:r>
        <w:rPr>
          <w:rFonts w:hint="eastAsia" w:ascii="仿宋_GB2312" w:hAnsi="仿宋" w:eastAsia="仿宋_GB2312" w:cs="楷体"/>
          <w:b/>
          <w:bCs/>
          <w:color w:val="auto"/>
          <w:sz w:val="32"/>
          <w:szCs w:val="32"/>
          <w:highlight w:val="none"/>
        </w:rPr>
        <w:t>评价得分：</w:t>
      </w:r>
      <w:r>
        <w:rPr>
          <w:rFonts w:hint="eastAsia" w:ascii="仿宋_GB2312" w:hAnsi="仿宋" w:eastAsia="仿宋_GB2312" w:cs="楷体"/>
          <w:bCs/>
          <w:color w:val="auto"/>
          <w:sz w:val="32"/>
          <w:szCs w:val="32"/>
          <w:highlight w:val="none"/>
        </w:rPr>
        <w:t>该项指标综合得分</w:t>
      </w:r>
      <w:r>
        <w:rPr>
          <w:rFonts w:ascii="仿宋_GB2312" w:hAnsi="仿宋" w:eastAsia="仿宋_GB2312" w:cs="楷体"/>
          <w:bCs/>
          <w:color w:val="auto"/>
          <w:sz w:val="32"/>
          <w:szCs w:val="32"/>
          <w:highlight w:val="none"/>
        </w:rPr>
        <w:t>5</w:t>
      </w:r>
      <w:r>
        <w:rPr>
          <w:rFonts w:hint="eastAsia" w:ascii="仿宋_GB2312" w:hAnsi="仿宋" w:eastAsia="仿宋_GB2312" w:cs="楷体"/>
          <w:bCs/>
          <w:color w:val="auto"/>
          <w:sz w:val="32"/>
          <w:szCs w:val="32"/>
          <w:highlight w:val="none"/>
        </w:rPr>
        <w:t>分。</w:t>
      </w:r>
    </w:p>
    <w:p>
      <w:pPr>
        <w:spacing w:line="560" w:lineRule="exact"/>
        <w:ind w:firstLine="643" w:firstLineChars="200"/>
        <w:rPr>
          <w:rFonts w:ascii="仿宋_GB2312" w:hAnsi="仿宋" w:eastAsia="仿宋_GB2312"/>
          <w:b/>
          <w:bCs/>
          <w:color w:val="auto"/>
          <w:sz w:val="32"/>
          <w:szCs w:val="32"/>
          <w:highlight w:val="none"/>
        </w:rPr>
      </w:pPr>
      <w:r>
        <w:rPr>
          <w:rFonts w:hint="eastAsia" w:ascii="仿宋_GB2312" w:hAnsi="仿宋" w:eastAsia="仿宋_GB2312" w:cs="楷体"/>
          <w:b/>
          <w:bCs/>
          <w:color w:val="auto"/>
          <w:sz w:val="32"/>
          <w:szCs w:val="32"/>
          <w:highlight w:val="none"/>
        </w:rPr>
        <w:t>（</w:t>
      </w:r>
      <w:r>
        <w:rPr>
          <w:rFonts w:ascii="仿宋_GB2312" w:hAnsi="仿宋" w:eastAsia="仿宋_GB2312" w:cs="楷体"/>
          <w:b/>
          <w:bCs/>
          <w:color w:val="auto"/>
          <w:sz w:val="32"/>
          <w:szCs w:val="32"/>
          <w:highlight w:val="none"/>
        </w:rPr>
        <w:t>4</w:t>
      </w:r>
      <w:r>
        <w:rPr>
          <w:rFonts w:hint="eastAsia" w:ascii="仿宋_GB2312" w:hAnsi="仿宋" w:eastAsia="仿宋_GB2312" w:cs="楷体"/>
          <w:b/>
          <w:bCs/>
          <w:color w:val="auto"/>
          <w:sz w:val="32"/>
          <w:szCs w:val="32"/>
          <w:highlight w:val="none"/>
        </w:rPr>
        <w:t>）可持续影响（标准分值5分）</w:t>
      </w:r>
    </w:p>
    <w:p>
      <w:pPr>
        <w:spacing w:line="560" w:lineRule="exact"/>
        <w:ind w:firstLine="560"/>
        <w:rPr>
          <w:rFonts w:ascii="仿宋_GB2312" w:hAnsi="仿宋" w:eastAsia="仿宋_GB2312"/>
          <w:bCs/>
          <w:color w:val="auto"/>
          <w:sz w:val="32"/>
          <w:szCs w:val="32"/>
          <w:highlight w:val="none"/>
        </w:rPr>
      </w:pPr>
      <w:r>
        <w:rPr>
          <w:rFonts w:hint="eastAsia" w:ascii="仿宋_GB2312" w:hAnsi="仿宋" w:eastAsia="仿宋_GB2312"/>
          <w:b/>
          <w:color w:val="auto"/>
          <w:sz w:val="32"/>
          <w:szCs w:val="32"/>
          <w:highlight w:val="none"/>
        </w:rPr>
        <w:t>指标内容：</w:t>
      </w:r>
      <w:r>
        <w:rPr>
          <w:rFonts w:hint="eastAsia" w:ascii="仿宋_GB2312" w:hAnsi="仿宋" w:eastAsia="仿宋_GB2312"/>
          <w:bCs/>
          <w:color w:val="auto"/>
          <w:sz w:val="32"/>
          <w:szCs w:val="32"/>
          <w:highlight w:val="none"/>
        </w:rPr>
        <w:t>项目后续运行及成效发挥的可持续性影响。</w:t>
      </w:r>
    </w:p>
    <w:p>
      <w:pPr>
        <w:spacing w:line="560" w:lineRule="exact"/>
        <w:ind w:firstLine="643" w:firstLineChars="200"/>
        <w:rPr>
          <w:rFonts w:hint="eastAsia" w:ascii="仿宋_GB2312" w:hAnsi="仿宋" w:eastAsia="仿宋_GB2312"/>
          <w:bCs/>
          <w:color w:val="auto"/>
          <w:sz w:val="32"/>
          <w:szCs w:val="32"/>
          <w:highlight w:val="none"/>
        </w:rPr>
      </w:pPr>
      <w:r>
        <w:rPr>
          <w:rFonts w:hint="eastAsia" w:ascii="仿宋_GB2312" w:hAnsi="仿宋" w:eastAsia="仿宋_GB2312"/>
          <w:b/>
          <w:color w:val="auto"/>
          <w:sz w:val="32"/>
          <w:szCs w:val="32"/>
          <w:highlight w:val="none"/>
        </w:rPr>
        <w:t>评价分析：</w:t>
      </w:r>
      <w:r>
        <w:rPr>
          <w:rFonts w:hint="eastAsia" w:ascii="仿宋_GB2312" w:hAnsi="仿宋" w:eastAsia="仿宋_GB2312"/>
          <w:bCs/>
          <w:color w:val="auto"/>
          <w:sz w:val="32"/>
          <w:szCs w:val="32"/>
          <w:highlight w:val="none"/>
        </w:rPr>
        <w:t>环保管家服务、安全生产技术服务子项目，由经开区管委会组织考评合格，已实际完成。项目实施后对落实好环保管理制度及措施，实现经济与环境协调发展，保障企业安全生产，全面落实开发区企业安全生产主体责任，持续发挥项目预期效益。</w:t>
      </w:r>
    </w:p>
    <w:p>
      <w:pPr>
        <w:spacing w:line="560" w:lineRule="exact"/>
        <w:ind w:firstLine="560"/>
        <w:rPr>
          <w:rFonts w:ascii="仿宋_GB2312" w:hAnsi="仿宋" w:eastAsia="仿宋_GB2312"/>
          <w:color w:val="auto"/>
          <w:sz w:val="32"/>
          <w:szCs w:val="32"/>
          <w:highlight w:val="none"/>
        </w:rPr>
      </w:pPr>
      <w:r>
        <w:rPr>
          <w:rFonts w:hint="eastAsia" w:ascii="仿宋_GB2312" w:hAnsi="仿宋" w:eastAsia="仿宋_GB2312"/>
          <w:b/>
          <w:color w:val="auto"/>
          <w:sz w:val="32"/>
          <w:szCs w:val="32"/>
          <w:highlight w:val="none"/>
        </w:rPr>
        <w:t>评价得分：</w:t>
      </w:r>
      <w:r>
        <w:rPr>
          <w:rFonts w:hint="eastAsia" w:ascii="仿宋_GB2312" w:hAnsi="仿宋" w:eastAsia="仿宋_GB2312" w:cs="楷体"/>
          <w:bCs/>
          <w:color w:val="auto"/>
          <w:sz w:val="32"/>
          <w:szCs w:val="32"/>
          <w:highlight w:val="none"/>
        </w:rPr>
        <w:t>该项指标综合得分</w:t>
      </w:r>
      <w:r>
        <w:rPr>
          <w:rFonts w:hint="eastAsia" w:ascii="仿宋_GB2312" w:hAnsi="仿宋" w:eastAsia="仿宋_GB2312" w:cs="楷体"/>
          <w:bCs/>
          <w:color w:val="auto"/>
          <w:sz w:val="32"/>
          <w:szCs w:val="32"/>
          <w:highlight w:val="none"/>
          <w:lang w:val="en-US" w:eastAsia="zh-CN"/>
        </w:rPr>
        <w:t>为满分5</w:t>
      </w:r>
      <w:r>
        <w:rPr>
          <w:rFonts w:hint="eastAsia" w:ascii="仿宋_GB2312" w:hAnsi="仿宋" w:eastAsia="仿宋_GB2312" w:cs="楷体"/>
          <w:bCs/>
          <w:color w:val="auto"/>
          <w:sz w:val="32"/>
          <w:szCs w:val="32"/>
          <w:highlight w:val="none"/>
        </w:rPr>
        <w:t>分。</w:t>
      </w:r>
    </w:p>
    <w:p>
      <w:pPr>
        <w:spacing w:line="560" w:lineRule="exact"/>
        <w:ind w:firstLine="560"/>
        <w:rPr>
          <w:rFonts w:ascii="仿宋_GB2312" w:hAnsi="仿宋" w:eastAsia="仿宋_GB2312" w:cs="楷体"/>
          <w:b/>
          <w:bCs/>
          <w:color w:val="auto"/>
          <w:sz w:val="32"/>
          <w:szCs w:val="32"/>
          <w:highlight w:val="none"/>
        </w:rPr>
      </w:pPr>
      <w:r>
        <w:rPr>
          <w:rFonts w:hint="eastAsia" w:ascii="仿宋_GB2312" w:hAnsi="仿宋" w:eastAsia="仿宋_GB2312" w:cs="楷体"/>
          <w:b/>
          <w:bCs/>
          <w:color w:val="auto"/>
          <w:sz w:val="32"/>
          <w:szCs w:val="32"/>
          <w:highlight w:val="none"/>
        </w:rPr>
        <w:t>（</w:t>
      </w:r>
      <w:r>
        <w:rPr>
          <w:rFonts w:ascii="仿宋_GB2312" w:hAnsi="仿宋" w:eastAsia="仿宋_GB2312" w:cs="楷体"/>
          <w:b/>
          <w:bCs/>
          <w:color w:val="auto"/>
          <w:sz w:val="32"/>
          <w:szCs w:val="32"/>
          <w:highlight w:val="none"/>
        </w:rPr>
        <w:t>5</w:t>
      </w:r>
      <w:r>
        <w:rPr>
          <w:rFonts w:hint="eastAsia" w:ascii="仿宋_GB2312" w:hAnsi="仿宋" w:eastAsia="仿宋_GB2312" w:cs="楷体"/>
          <w:b/>
          <w:bCs/>
          <w:color w:val="auto"/>
          <w:sz w:val="32"/>
          <w:szCs w:val="32"/>
          <w:highlight w:val="none"/>
        </w:rPr>
        <w:t>）满意度指标（标准分值</w:t>
      </w:r>
      <w:r>
        <w:rPr>
          <w:rFonts w:ascii="仿宋_GB2312" w:hAnsi="仿宋" w:eastAsia="仿宋_GB2312" w:cs="楷体"/>
          <w:b/>
          <w:bCs/>
          <w:color w:val="auto"/>
          <w:sz w:val="32"/>
          <w:szCs w:val="32"/>
          <w:highlight w:val="none"/>
        </w:rPr>
        <w:t>5</w:t>
      </w:r>
      <w:r>
        <w:rPr>
          <w:rFonts w:hint="eastAsia" w:ascii="仿宋_GB2312" w:hAnsi="仿宋" w:eastAsia="仿宋_GB2312" w:cs="楷体"/>
          <w:b/>
          <w:bCs/>
          <w:color w:val="auto"/>
          <w:sz w:val="32"/>
          <w:szCs w:val="32"/>
          <w:highlight w:val="none"/>
        </w:rPr>
        <w:t>分）</w:t>
      </w:r>
    </w:p>
    <w:p>
      <w:pPr>
        <w:spacing w:line="560" w:lineRule="exact"/>
        <w:ind w:firstLine="600"/>
        <w:rPr>
          <w:rFonts w:ascii="仿宋_GB2312" w:hAnsi="仿宋" w:eastAsia="仿宋_GB2312"/>
          <w:color w:val="auto"/>
          <w:sz w:val="32"/>
          <w:szCs w:val="32"/>
          <w:highlight w:val="none"/>
        </w:rPr>
      </w:pPr>
      <w:r>
        <w:rPr>
          <w:rFonts w:hint="eastAsia" w:ascii="仿宋_GB2312" w:hAnsi="仿宋" w:eastAsia="仿宋_GB2312"/>
          <w:b/>
          <w:color w:val="auto"/>
          <w:sz w:val="32"/>
          <w:szCs w:val="32"/>
          <w:highlight w:val="none"/>
        </w:rPr>
        <w:t>指标内容：</w:t>
      </w:r>
      <w:r>
        <w:rPr>
          <w:rFonts w:hint="eastAsia" w:ascii="仿宋_GB2312" w:hAnsi="仿宋" w:eastAsia="仿宋_GB2312"/>
          <w:color w:val="auto"/>
          <w:sz w:val="32"/>
          <w:szCs w:val="32"/>
          <w:highlight w:val="none"/>
        </w:rPr>
        <w:t>社会公众或服务对象对项目实施效果的满意程度。</w:t>
      </w:r>
    </w:p>
    <w:p>
      <w:pPr>
        <w:spacing w:line="560" w:lineRule="exact"/>
        <w:ind w:firstLine="615"/>
        <w:rPr>
          <w:rFonts w:ascii="仿宋_GB2312" w:hAnsi="仿宋" w:eastAsia="仿宋_GB2312" w:cs="楷体"/>
          <w:bCs/>
          <w:color w:val="auto"/>
          <w:sz w:val="32"/>
          <w:szCs w:val="32"/>
          <w:highlight w:val="none"/>
          <w:lang w:val="en-AU"/>
        </w:rPr>
      </w:pPr>
      <w:r>
        <w:rPr>
          <w:rFonts w:hint="eastAsia" w:ascii="仿宋_GB2312" w:hAnsi="仿宋" w:eastAsia="仿宋_GB2312"/>
          <w:b/>
          <w:color w:val="auto"/>
          <w:sz w:val="32"/>
          <w:szCs w:val="32"/>
          <w:highlight w:val="none"/>
        </w:rPr>
        <w:t>评价分析：</w:t>
      </w:r>
      <w:r>
        <w:rPr>
          <w:rFonts w:hint="eastAsia" w:ascii="仿宋_GB2312" w:hAnsi="仿宋" w:eastAsia="仿宋_GB2312"/>
          <w:color w:val="auto"/>
          <w:sz w:val="32"/>
          <w:szCs w:val="32"/>
          <w:highlight w:val="none"/>
        </w:rPr>
        <w:t>本次评价对通城经开区管委会辖区群众随机调查，共发放调查问卷</w:t>
      </w:r>
      <w:r>
        <w:rPr>
          <w:rFonts w:ascii="仿宋_GB2312" w:hAnsi="仿宋" w:eastAsia="仿宋_GB2312"/>
          <w:color w:val="auto"/>
          <w:sz w:val="32"/>
          <w:szCs w:val="32"/>
          <w:highlight w:val="none"/>
        </w:rPr>
        <w:t>20</w:t>
      </w:r>
      <w:r>
        <w:rPr>
          <w:rFonts w:hint="eastAsia" w:ascii="仿宋_GB2312" w:hAnsi="仿宋" w:eastAsia="仿宋_GB2312"/>
          <w:color w:val="auto"/>
          <w:sz w:val="32"/>
          <w:szCs w:val="32"/>
          <w:highlight w:val="none"/>
        </w:rPr>
        <w:t>份，回收有效调查问卷</w:t>
      </w:r>
      <w:r>
        <w:rPr>
          <w:rFonts w:ascii="仿宋_GB2312" w:hAnsi="仿宋" w:eastAsia="仿宋_GB2312"/>
          <w:color w:val="auto"/>
          <w:sz w:val="32"/>
          <w:szCs w:val="32"/>
          <w:highlight w:val="none"/>
        </w:rPr>
        <w:t>20</w:t>
      </w:r>
      <w:r>
        <w:rPr>
          <w:rFonts w:hint="eastAsia" w:ascii="仿宋_GB2312" w:hAnsi="仿宋" w:eastAsia="仿宋_GB2312"/>
          <w:color w:val="auto"/>
          <w:sz w:val="32"/>
          <w:szCs w:val="32"/>
          <w:highlight w:val="none"/>
        </w:rPr>
        <w:t>份。对项目服务经费项目满意的共</w:t>
      </w:r>
      <w:r>
        <w:rPr>
          <w:rFonts w:ascii="仿宋_GB2312" w:hAnsi="仿宋" w:eastAsia="仿宋_GB2312"/>
          <w:color w:val="auto"/>
          <w:sz w:val="32"/>
          <w:szCs w:val="32"/>
          <w:highlight w:val="none"/>
        </w:rPr>
        <w:t>20</w:t>
      </w:r>
      <w:r>
        <w:rPr>
          <w:rFonts w:hint="eastAsia" w:ascii="仿宋_GB2312" w:hAnsi="仿宋" w:eastAsia="仿宋_GB2312"/>
          <w:color w:val="auto"/>
          <w:sz w:val="32"/>
          <w:szCs w:val="32"/>
          <w:highlight w:val="none"/>
        </w:rPr>
        <w:t>人次，满意度=</w:t>
      </w:r>
      <w:r>
        <w:rPr>
          <w:rFonts w:ascii="仿宋_GB2312" w:hAnsi="仿宋" w:eastAsia="仿宋_GB2312"/>
          <w:color w:val="auto"/>
          <w:sz w:val="32"/>
          <w:szCs w:val="32"/>
          <w:highlight w:val="none"/>
        </w:rPr>
        <w:t>20</w:t>
      </w:r>
      <w:r>
        <w:rPr>
          <w:rFonts w:hint="eastAsia" w:ascii="仿宋_GB2312" w:hAnsi="仿宋" w:eastAsia="仿宋_GB2312"/>
          <w:color w:val="auto"/>
          <w:sz w:val="32"/>
          <w:szCs w:val="32"/>
          <w:highlight w:val="none"/>
        </w:rPr>
        <w:t>/</w:t>
      </w:r>
      <w:r>
        <w:rPr>
          <w:rFonts w:ascii="仿宋_GB2312" w:hAnsi="仿宋" w:eastAsia="仿宋_GB2312"/>
          <w:color w:val="auto"/>
          <w:sz w:val="32"/>
          <w:szCs w:val="32"/>
          <w:highlight w:val="none"/>
        </w:rPr>
        <w:t>20</w:t>
      </w:r>
      <w:r>
        <w:rPr>
          <w:rFonts w:hint="eastAsia" w:ascii="仿宋_GB2312" w:hAnsi="仿宋" w:eastAsia="仿宋_GB2312"/>
          <w:color w:val="auto"/>
          <w:sz w:val="32"/>
          <w:szCs w:val="32"/>
          <w:highlight w:val="none"/>
        </w:rPr>
        <w:t>=</w:t>
      </w:r>
      <w:r>
        <w:rPr>
          <w:rFonts w:ascii="仿宋_GB2312" w:hAnsi="仿宋" w:eastAsia="仿宋_GB2312"/>
          <w:color w:val="auto"/>
          <w:sz w:val="32"/>
          <w:szCs w:val="32"/>
          <w:highlight w:val="none"/>
        </w:rPr>
        <w:t>100</w:t>
      </w:r>
      <w:r>
        <w:rPr>
          <w:rFonts w:hint="eastAsia" w:ascii="仿宋_GB2312" w:hAnsi="仿宋" w:eastAsia="仿宋_GB2312"/>
          <w:color w:val="auto"/>
          <w:sz w:val="32"/>
          <w:szCs w:val="32"/>
          <w:highlight w:val="none"/>
        </w:rPr>
        <w:t>%。</w:t>
      </w:r>
    </w:p>
    <w:p>
      <w:pPr>
        <w:spacing w:line="560" w:lineRule="exact"/>
        <w:ind w:firstLine="555"/>
        <w:rPr>
          <w:rFonts w:ascii="仿宋_GB2312" w:hAnsi="仿宋" w:eastAsia="仿宋_GB2312"/>
          <w:color w:val="auto"/>
          <w:sz w:val="32"/>
          <w:szCs w:val="32"/>
          <w:highlight w:val="none"/>
        </w:rPr>
      </w:pPr>
      <w:r>
        <w:rPr>
          <w:rFonts w:hint="eastAsia" w:ascii="仿宋_GB2312" w:hAnsi="仿宋" w:eastAsia="仿宋_GB2312"/>
          <w:b/>
          <w:bCs/>
          <w:color w:val="auto"/>
          <w:sz w:val="32"/>
          <w:szCs w:val="32"/>
          <w:highlight w:val="none"/>
        </w:rPr>
        <w:t>评价得分：</w:t>
      </w:r>
      <w:r>
        <w:rPr>
          <w:rFonts w:hint="eastAsia" w:ascii="仿宋_GB2312" w:hAnsi="仿宋" w:eastAsia="仿宋_GB2312"/>
          <w:bCs/>
          <w:color w:val="auto"/>
          <w:sz w:val="32"/>
          <w:szCs w:val="32"/>
          <w:highlight w:val="none"/>
        </w:rPr>
        <w:t>该项指标综合评价得分</w:t>
      </w:r>
      <w:r>
        <w:rPr>
          <w:rFonts w:ascii="仿宋_GB2312" w:hAnsi="仿宋" w:eastAsia="仿宋_GB2312"/>
          <w:bCs/>
          <w:color w:val="auto"/>
          <w:sz w:val="32"/>
          <w:szCs w:val="32"/>
          <w:highlight w:val="none"/>
        </w:rPr>
        <w:t>5</w:t>
      </w:r>
      <w:r>
        <w:rPr>
          <w:rFonts w:hint="eastAsia" w:ascii="仿宋_GB2312" w:hAnsi="仿宋" w:eastAsia="仿宋_GB2312"/>
          <w:bCs/>
          <w:color w:val="auto"/>
          <w:sz w:val="32"/>
          <w:szCs w:val="32"/>
          <w:highlight w:val="none"/>
        </w:rPr>
        <w:t>分。</w:t>
      </w:r>
    </w:p>
    <w:p>
      <w:pPr>
        <w:spacing w:line="560" w:lineRule="exact"/>
        <w:ind w:firstLine="643" w:firstLineChars="200"/>
        <w:outlineLvl w:val="2"/>
        <w:rPr>
          <w:rFonts w:ascii="仿宋_GB2312" w:hAnsi="仿宋" w:eastAsia="仿宋_GB2312" w:cs="楷体"/>
          <w:b/>
          <w:bCs/>
          <w:color w:val="auto"/>
          <w:sz w:val="32"/>
          <w:szCs w:val="32"/>
          <w:highlight w:val="none"/>
        </w:rPr>
      </w:pPr>
      <w:bookmarkStart w:id="59" w:name="_Toc1346"/>
      <w:bookmarkStart w:id="60" w:name="_Toc6580"/>
      <w:r>
        <w:rPr>
          <w:rFonts w:hint="eastAsia" w:ascii="仿宋_GB2312" w:hAnsi="楷体" w:eastAsia="仿宋_GB2312" w:cs="楷体"/>
          <w:b/>
          <w:bCs/>
          <w:color w:val="auto"/>
          <w:sz w:val="32"/>
          <w:szCs w:val="32"/>
          <w:highlight w:val="none"/>
        </w:rPr>
        <w:t>5</w:t>
      </w:r>
      <w:r>
        <w:rPr>
          <w:rFonts w:hint="eastAsia" w:ascii="仿宋_GB2312" w:hAnsi="仿宋" w:eastAsia="仿宋_GB2312" w:cs="楷体"/>
          <w:b/>
          <w:bCs/>
          <w:color w:val="auto"/>
          <w:sz w:val="32"/>
          <w:szCs w:val="32"/>
          <w:highlight w:val="none"/>
        </w:rPr>
        <w:t>.评价得分与等级</w:t>
      </w:r>
      <w:bookmarkEnd w:id="59"/>
      <w:bookmarkEnd w:id="60"/>
    </w:p>
    <w:p>
      <w:pPr>
        <w:spacing w:line="560" w:lineRule="exact"/>
        <w:ind w:firstLine="600"/>
        <w:rPr>
          <w:rFonts w:ascii="仿宋_GB2312" w:hAnsi="仿宋" w:eastAsia="仿宋_GB2312" w:cs="宋体"/>
          <w:b/>
          <w:bCs/>
          <w:color w:val="auto"/>
          <w:sz w:val="32"/>
          <w:szCs w:val="32"/>
          <w:highlight w:val="none"/>
        </w:rPr>
      </w:pPr>
      <w:r>
        <w:rPr>
          <w:rFonts w:hint="eastAsia" w:ascii="仿宋_GB2312" w:hAnsi="仿宋" w:eastAsia="仿宋_GB2312" w:cs="宋体"/>
          <w:color w:val="auto"/>
          <w:sz w:val="32"/>
          <w:szCs w:val="32"/>
          <w:highlight w:val="none"/>
        </w:rPr>
        <w:t>通城经济开发区2022年度项目服务经费项目绩效评价</w:t>
      </w:r>
      <w:r>
        <w:rPr>
          <w:rFonts w:hint="eastAsia" w:ascii="仿宋_GB2312" w:hAnsi="仿宋" w:eastAsia="仿宋_GB2312"/>
          <w:color w:val="auto"/>
          <w:sz w:val="32"/>
          <w:szCs w:val="32"/>
          <w:highlight w:val="none"/>
        </w:rPr>
        <w:t>设计</w:t>
      </w:r>
      <w:r>
        <w:rPr>
          <w:rFonts w:hint="eastAsia" w:ascii="仿宋_GB2312" w:hAnsi="仿宋" w:eastAsia="仿宋_GB2312" w:cs="宋体"/>
          <w:color w:val="auto"/>
          <w:sz w:val="32"/>
          <w:szCs w:val="32"/>
          <w:highlight w:val="none"/>
        </w:rPr>
        <w:t>基础总分100分，综合评价得分</w:t>
      </w:r>
      <w:r>
        <w:rPr>
          <w:rFonts w:hint="eastAsia" w:ascii="仿宋_GB2312" w:hAnsi="仿宋" w:eastAsia="仿宋_GB2312" w:cs="宋体"/>
          <w:color w:val="auto"/>
          <w:sz w:val="32"/>
          <w:szCs w:val="32"/>
          <w:highlight w:val="none"/>
          <w:lang w:eastAsia="zh-CN"/>
        </w:rPr>
        <w:t>87.91</w:t>
      </w:r>
      <w:r>
        <w:rPr>
          <w:rFonts w:hint="eastAsia" w:ascii="仿宋_GB2312" w:hAnsi="仿宋" w:eastAsia="仿宋_GB2312" w:cs="宋体"/>
          <w:color w:val="auto"/>
          <w:sz w:val="32"/>
          <w:szCs w:val="32"/>
          <w:highlight w:val="none"/>
        </w:rPr>
        <w:t>分，评价等级为“</w:t>
      </w:r>
      <w:r>
        <w:rPr>
          <w:rFonts w:hint="eastAsia" w:ascii="仿宋_GB2312" w:hAnsi="仿宋" w:eastAsia="仿宋_GB2312" w:cs="宋体"/>
          <w:color w:val="auto"/>
          <w:sz w:val="32"/>
          <w:szCs w:val="32"/>
          <w:highlight w:val="none"/>
          <w:lang w:val="en-US" w:eastAsia="zh-CN"/>
        </w:rPr>
        <w:t>良</w:t>
      </w:r>
      <w:r>
        <w:rPr>
          <w:rFonts w:hint="eastAsia" w:ascii="仿宋_GB2312" w:hAnsi="仿宋" w:eastAsia="仿宋_GB2312" w:cs="宋体"/>
          <w:color w:val="auto"/>
          <w:sz w:val="32"/>
          <w:szCs w:val="32"/>
          <w:highlight w:val="none"/>
        </w:rPr>
        <w:t>”。基本指标综合得分及等级如下表：</w:t>
      </w:r>
    </w:p>
    <w:p>
      <w:pPr>
        <w:pStyle w:val="36"/>
        <w:spacing w:line="560" w:lineRule="exact"/>
        <w:ind w:left="980" w:firstLine="1124" w:firstLineChars="400"/>
        <w:rPr>
          <w:rFonts w:ascii="宋体" w:hAnsi="宋体" w:cs="宋体"/>
          <w:b/>
          <w:color w:val="auto"/>
          <w:sz w:val="28"/>
          <w:szCs w:val="28"/>
          <w:highlight w:val="none"/>
        </w:rPr>
      </w:pPr>
      <w:r>
        <w:rPr>
          <w:rFonts w:hint="eastAsia" w:ascii="宋体" w:hAnsi="宋体" w:cs="宋体"/>
          <w:b/>
          <w:color w:val="auto"/>
          <w:sz w:val="28"/>
          <w:szCs w:val="28"/>
          <w:highlight w:val="none"/>
        </w:rPr>
        <w:t>项目绩效基本指标评价得分及等级表</w:t>
      </w:r>
    </w:p>
    <w:tbl>
      <w:tblPr>
        <w:tblStyle w:val="14"/>
        <w:tblW w:w="8647" w:type="dxa"/>
        <w:tblInd w:w="137" w:type="dxa"/>
        <w:tblLayout w:type="fixed"/>
        <w:tblCellMar>
          <w:top w:w="15" w:type="dxa"/>
          <w:left w:w="15" w:type="dxa"/>
          <w:bottom w:w="15" w:type="dxa"/>
          <w:right w:w="15" w:type="dxa"/>
        </w:tblCellMar>
      </w:tblPr>
      <w:tblGrid>
        <w:gridCol w:w="2288"/>
        <w:gridCol w:w="1985"/>
        <w:gridCol w:w="2106"/>
        <w:gridCol w:w="2268"/>
      </w:tblGrid>
      <w:tr>
        <w:tblPrEx>
          <w:tblCellMar>
            <w:top w:w="15" w:type="dxa"/>
            <w:left w:w="15" w:type="dxa"/>
            <w:bottom w:w="15" w:type="dxa"/>
            <w:right w:w="15" w:type="dxa"/>
          </w:tblCellMar>
        </w:tblPrEx>
        <w:trPr>
          <w:trHeight w:val="454" w:hRule="exact"/>
        </w:trPr>
        <w:tc>
          <w:tcPr>
            <w:tcW w:w="228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b/>
                <w:color w:val="auto"/>
                <w:sz w:val="28"/>
                <w:szCs w:val="28"/>
                <w:highlight w:val="none"/>
              </w:rPr>
            </w:pPr>
            <w:r>
              <w:rPr>
                <w:rFonts w:hint="eastAsia" w:ascii="宋体" w:hAnsi="宋体" w:cs="仿宋"/>
                <w:b/>
                <w:color w:val="auto"/>
                <w:kern w:val="0"/>
                <w:sz w:val="28"/>
                <w:szCs w:val="28"/>
                <w:highlight w:val="none"/>
              </w:rPr>
              <w:t>一级指标</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b/>
                <w:color w:val="auto"/>
                <w:sz w:val="28"/>
                <w:szCs w:val="28"/>
                <w:highlight w:val="none"/>
              </w:rPr>
            </w:pPr>
            <w:r>
              <w:rPr>
                <w:rFonts w:hint="eastAsia" w:ascii="宋体" w:hAnsi="宋体" w:cs="仿宋"/>
                <w:b/>
                <w:color w:val="auto"/>
                <w:kern w:val="0"/>
                <w:sz w:val="28"/>
                <w:szCs w:val="28"/>
                <w:highlight w:val="none"/>
              </w:rPr>
              <w:t>标准分值</w:t>
            </w:r>
          </w:p>
        </w:tc>
        <w:tc>
          <w:tcPr>
            <w:tcW w:w="210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b/>
                <w:color w:val="auto"/>
                <w:kern w:val="0"/>
                <w:sz w:val="28"/>
                <w:szCs w:val="28"/>
                <w:highlight w:val="none"/>
              </w:rPr>
            </w:pPr>
            <w:r>
              <w:rPr>
                <w:rFonts w:hint="eastAsia" w:ascii="宋体" w:hAnsi="宋体" w:cs="仿宋"/>
                <w:b/>
                <w:color w:val="auto"/>
                <w:kern w:val="0"/>
                <w:sz w:val="28"/>
                <w:szCs w:val="28"/>
                <w:highlight w:val="none"/>
              </w:rPr>
              <w:t>评价得分</w:t>
            </w: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b/>
                <w:color w:val="auto"/>
                <w:kern w:val="0"/>
                <w:sz w:val="28"/>
                <w:szCs w:val="28"/>
                <w:highlight w:val="none"/>
              </w:rPr>
            </w:pPr>
            <w:r>
              <w:rPr>
                <w:rFonts w:hint="eastAsia" w:ascii="宋体" w:hAnsi="宋体" w:cs="仿宋"/>
                <w:b/>
                <w:color w:val="auto"/>
                <w:kern w:val="0"/>
                <w:sz w:val="28"/>
                <w:szCs w:val="28"/>
                <w:highlight w:val="none"/>
              </w:rPr>
              <w:t>评价等级</w:t>
            </w:r>
          </w:p>
        </w:tc>
      </w:tr>
      <w:tr>
        <w:tblPrEx>
          <w:tblCellMar>
            <w:top w:w="15" w:type="dxa"/>
            <w:left w:w="15" w:type="dxa"/>
            <w:bottom w:w="15" w:type="dxa"/>
            <w:right w:w="15" w:type="dxa"/>
          </w:tblCellMar>
        </w:tblPrEx>
        <w:trPr>
          <w:trHeight w:val="454" w:hRule="exact"/>
        </w:trPr>
        <w:tc>
          <w:tcPr>
            <w:tcW w:w="228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color w:val="auto"/>
                <w:sz w:val="28"/>
                <w:szCs w:val="28"/>
                <w:highlight w:val="none"/>
              </w:rPr>
            </w:pPr>
            <w:r>
              <w:rPr>
                <w:rFonts w:hint="eastAsia" w:ascii="宋体" w:hAnsi="宋体" w:cs="仿宋"/>
                <w:color w:val="auto"/>
                <w:kern w:val="0"/>
                <w:sz w:val="28"/>
                <w:szCs w:val="28"/>
                <w:highlight w:val="none"/>
              </w:rPr>
              <w:t>决 策</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color w:val="auto"/>
                <w:sz w:val="28"/>
                <w:szCs w:val="28"/>
                <w:highlight w:val="none"/>
              </w:rPr>
            </w:pPr>
            <w:r>
              <w:rPr>
                <w:rFonts w:hint="eastAsia" w:ascii="宋体" w:hAnsi="宋体" w:cs="仿宋"/>
                <w:color w:val="auto"/>
                <w:kern w:val="0"/>
                <w:sz w:val="28"/>
                <w:szCs w:val="28"/>
                <w:highlight w:val="none"/>
              </w:rPr>
              <w:t>1</w:t>
            </w:r>
            <w:r>
              <w:rPr>
                <w:rFonts w:ascii="宋体" w:hAnsi="宋体" w:cs="仿宋"/>
                <w:color w:val="auto"/>
                <w:kern w:val="0"/>
                <w:sz w:val="28"/>
                <w:szCs w:val="28"/>
                <w:highlight w:val="none"/>
              </w:rPr>
              <w:t>7</w:t>
            </w:r>
          </w:p>
        </w:tc>
        <w:tc>
          <w:tcPr>
            <w:tcW w:w="210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eastAsia" w:ascii="宋体" w:hAnsi="宋体" w:eastAsia="宋体" w:cs="仿宋"/>
                <w:color w:val="auto"/>
                <w:sz w:val="28"/>
                <w:szCs w:val="28"/>
                <w:highlight w:val="none"/>
                <w:lang w:val="en-US" w:eastAsia="zh-CN"/>
              </w:rPr>
            </w:pPr>
            <w:r>
              <w:rPr>
                <w:rFonts w:ascii="宋体" w:hAnsi="宋体" w:cs="仿宋"/>
                <w:color w:val="auto"/>
                <w:sz w:val="28"/>
                <w:szCs w:val="28"/>
                <w:highlight w:val="none"/>
              </w:rPr>
              <w:t>1</w:t>
            </w:r>
            <w:r>
              <w:rPr>
                <w:rFonts w:hint="eastAsia" w:ascii="宋体" w:hAnsi="宋体" w:cs="仿宋"/>
                <w:color w:val="auto"/>
                <w:sz w:val="28"/>
                <w:szCs w:val="28"/>
                <w:highlight w:val="none"/>
                <w:lang w:val="en-US" w:eastAsia="zh-CN"/>
              </w:rPr>
              <w:t>5</w:t>
            </w: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宋体" w:hAnsi="宋体" w:eastAsia="宋体" w:cs="仿宋"/>
                <w:color w:val="auto"/>
                <w:sz w:val="28"/>
                <w:szCs w:val="28"/>
                <w:highlight w:val="none"/>
                <w:lang w:val="en-US" w:eastAsia="zh-CN"/>
              </w:rPr>
            </w:pPr>
            <w:r>
              <w:rPr>
                <w:rFonts w:hint="eastAsia" w:ascii="宋体" w:hAnsi="宋体" w:cs="仿宋"/>
                <w:color w:val="auto"/>
                <w:sz w:val="28"/>
                <w:szCs w:val="28"/>
                <w:highlight w:val="none"/>
                <w:lang w:val="en-US" w:eastAsia="zh-CN"/>
              </w:rPr>
              <w:t>良</w:t>
            </w:r>
          </w:p>
        </w:tc>
      </w:tr>
      <w:tr>
        <w:tblPrEx>
          <w:tblCellMar>
            <w:top w:w="15" w:type="dxa"/>
            <w:left w:w="15" w:type="dxa"/>
            <w:bottom w:w="15" w:type="dxa"/>
            <w:right w:w="15" w:type="dxa"/>
          </w:tblCellMar>
        </w:tblPrEx>
        <w:trPr>
          <w:trHeight w:val="454" w:hRule="exact"/>
        </w:trPr>
        <w:tc>
          <w:tcPr>
            <w:tcW w:w="228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color w:val="auto"/>
                <w:sz w:val="28"/>
                <w:szCs w:val="28"/>
                <w:highlight w:val="none"/>
              </w:rPr>
            </w:pPr>
            <w:r>
              <w:rPr>
                <w:rFonts w:hint="eastAsia" w:ascii="宋体" w:hAnsi="宋体" w:cs="仿宋"/>
                <w:color w:val="auto"/>
                <w:kern w:val="0"/>
                <w:sz w:val="28"/>
                <w:szCs w:val="28"/>
                <w:highlight w:val="none"/>
              </w:rPr>
              <w:t>过 程</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color w:val="auto"/>
                <w:sz w:val="28"/>
                <w:szCs w:val="28"/>
                <w:highlight w:val="none"/>
              </w:rPr>
            </w:pPr>
            <w:r>
              <w:rPr>
                <w:rFonts w:hint="eastAsia" w:ascii="宋体" w:hAnsi="宋体" w:cs="仿宋"/>
                <w:color w:val="auto"/>
                <w:kern w:val="0"/>
                <w:sz w:val="28"/>
                <w:szCs w:val="28"/>
                <w:highlight w:val="none"/>
              </w:rPr>
              <w:t>2</w:t>
            </w:r>
            <w:r>
              <w:rPr>
                <w:rFonts w:ascii="宋体" w:hAnsi="宋体" w:cs="仿宋"/>
                <w:color w:val="auto"/>
                <w:kern w:val="0"/>
                <w:sz w:val="28"/>
                <w:szCs w:val="28"/>
                <w:highlight w:val="none"/>
              </w:rPr>
              <w:t>2</w:t>
            </w:r>
          </w:p>
        </w:tc>
        <w:tc>
          <w:tcPr>
            <w:tcW w:w="210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宋体" w:hAnsi="宋体" w:eastAsia="宋体" w:cs="仿宋"/>
                <w:color w:val="auto"/>
                <w:sz w:val="28"/>
                <w:szCs w:val="28"/>
                <w:highlight w:val="none"/>
                <w:lang w:val="en-US" w:eastAsia="zh-CN"/>
              </w:rPr>
            </w:pPr>
            <w:r>
              <w:rPr>
                <w:rFonts w:hint="eastAsia" w:ascii="宋体" w:hAnsi="宋体" w:cs="仿宋"/>
                <w:color w:val="auto"/>
                <w:sz w:val="28"/>
                <w:szCs w:val="28"/>
                <w:highlight w:val="none"/>
                <w:lang w:val="en-US" w:eastAsia="zh-CN"/>
              </w:rPr>
              <w:t>18.91</w:t>
            </w: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color w:val="auto"/>
                <w:sz w:val="28"/>
                <w:szCs w:val="28"/>
                <w:highlight w:val="none"/>
              </w:rPr>
            </w:pPr>
            <w:r>
              <w:rPr>
                <w:rFonts w:hint="eastAsia" w:ascii="宋体" w:hAnsi="宋体" w:cs="仿宋"/>
                <w:color w:val="auto"/>
                <w:sz w:val="28"/>
                <w:szCs w:val="28"/>
                <w:highlight w:val="none"/>
              </w:rPr>
              <w:t>良</w:t>
            </w:r>
          </w:p>
        </w:tc>
      </w:tr>
      <w:tr>
        <w:tblPrEx>
          <w:tblCellMar>
            <w:top w:w="15" w:type="dxa"/>
            <w:left w:w="15" w:type="dxa"/>
            <w:bottom w:w="15" w:type="dxa"/>
            <w:right w:w="15" w:type="dxa"/>
          </w:tblCellMar>
        </w:tblPrEx>
        <w:trPr>
          <w:trHeight w:val="454" w:hRule="exact"/>
        </w:trPr>
        <w:tc>
          <w:tcPr>
            <w:tcW w:w="228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color w:val="auto"/>
                <w:sz w:val="28"/>
                <w:szCs w:val="28"/>
                <w:highlight w:val="none"/>
              </w:rPr>
            </w:pPr>
            <w:r>
              <w:rPr>
                <w:rFonts w:hint="eastAsia" w:ascii="宋体" w:hAnsi="宋体" w:cs="仿宋"/>
                <w:color w:val="auto"/>
                <w:kern w:val="0"/>
                <w:sz w:val="28"/>
                <w:szCs w:val="28"/>
                <w:highlight w:val="none"/>
              </w:rPr>
              <w:t>产 出</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color w:val="auto"/>
                <w:sz w:val="28"/>
                <w:szCs w:val="28"/>
                <w:highlight w:val="none"/>
              </w:rPr>
            </w:pPr>
            <w:r>
              <w:rPr>
                <w:rFonts w:hint="eastAsia" w:ascii="宋体" w:hAnsi="宋体" w:cs="仿宋"/>
                <w:color w:val="auto"/>
                <w:kern w:val="0"/>
                <w:sz w:val="28"/>
                <w:szCs w:val="28"/>
                <w:highlight w:val="none"/>
              </w:rPr>
              <w:t>3</w:t>
            </w:r>
            <w:r>
              <w:rPr>
                <w:rFonts w:ascii="宋体" w:hAnsi="宋体" w:cs="仿宋"/>
                <w:color w:val="auto"/>
                <w:kern w:val="0"/>
                <w:sz w:val="28"/>
                <w:szCs w:val="28"/>
                <w:highlight w:val="none"/>
              </w:rPr>
              <w:t>6</w:t>
            </w:r>
          </w:p>
        </w:tc>
        <w:tc>
          <w:tcPr>
            <w:tcW w:w="210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宋体" w:hAnsi="宋体" w:cs="仿宋"/>
                <w:color w:val="auto"/>
                <w:sz w:val="28"/>
                <w:szCs w:val="28"/>
                <w:highlight w:val="none"/>
                <w:lang w:val="en-US"/>
              </w:rPr>
            </w:pPr>
            <w:r>
              <w:rPr>
                <w:rFonts w:hint="eastAsia" w:ascii="宋体" w:hAnsi="宋体" w:cs="仿宋"/>
                <w:color w:val="auto"/>
                <w:sz w:val="28"/>
                <w:szCs w:val="28"/>
                <w:highlight w:val="none"/>
                <w:lang w:val="en-US" w:eastAsia="zh-CN"/>
              </w:rPr>
              <w:t>29</w:t>
            </w: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eastAsia" w:ascii="宋体" w:hAnsi="宋体" w:eastAsia="宋体" w:cs="仿宋"/>
                <w:color w:val="auto"/>
                <w:sz w:val="28"/>
                <w:szCs w:val="28"/>
                <w:highlight w:val="none"/>
                <w:lang w:val="en-US" w:eastAsia="zh-CN"/>
              </w:rPr>
            </w:pPr>
            <w:r>
              <w:rPr>
                <w:rFonts w:hint="eastAsia" w:ascii="宋体" w:hAnsi="宋体" w:cs="仿宋"/>
                <w:color w:val="auto"/>
                <w:sz w:val="28"/>
                <w:szCs w:val="28"/>
                <w:highlight w:val="none"/>
                <w:lang w:val="en-US" w:eastAsia="zh-CN"/>
              </w:rPr>
              <w:t>良</w:t>
            </w:r>
          </w:p>
        </w:tc>
      </w:tr>
      <w:tr>
        <w:tblPrEx>
          <w:tblCellMar>
            <w:top w:w="15" w:type="dxa"/>
            <w:left w:w="15" w:type="dxa"/>
            <w:bottom w:w="15" w:type="dxa"/>
            <w:right w:w="15" w:type="dxa"/>
          </w:tblCellMar>
        </w:tblPrEx>
        <w:trPr>
          <w:trHeight w:val="454" w:hRule="exact"/>
        </w:trPr>
        <w:tc>
          <w:tcPr>
            <w:tcW w:w="228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color w:val="auto"/>
                <w:sz w:val="28"/>
                <w:szCs w:val="28"/>
                <w:highlight w:val="none"/>
              </w:rPr>
            </w:pPr>
            <w:r>
              <w:rPr>
                <w:rFonts w:hint="eastAsia" w:ascii="宋体" w:hAnsi="宋体" w:cs="仿宋"/>
                <w:color w:val="auto"/>
                <w:kern w:val="0"/>
                <w:sz w:val="28"/>
                <w:szCs w:val="28"/>
                <w:highlight w:val="none"/>
              </w:rPr>
              <w:t>效 果</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color w:val="auto"/>
                <w:sz w:val="28"/>
                <w:szCs w:val="28"/>
                <w:highlight w:val="none"/>
              </w:rPr>
            </w:pPr>
            <w:r>
              <w:rPr>
                <w:rFonts w:hint="eastAsia" w:ascii="宋体" w:hAnsi="宋体" w:cs="仿宋"/>
                <w:color w:val="auto"/>
                <w:kern w:val="0"/>
                <w:sz w:val="28"/>
                <w:szCs w:val="28"/>
                <w:highlight w:val="none"/>
              </w:rPr>
              <w:t>2</w:t>
            </w:r>
            <w:r>
              <w:rPr>
                <w:rFonts w:ascii="宋体" w:hAnsi="宋体" w:cs="仿宋"/>
                <w:color w:val="auto"/>
                <w:kern w:val="0"/>
                <w:sz w:val="28"/>
                <w:szCs w:val="28"/>
                <w:highlight w:val="none"/>
              </w:rPr>
              <w:t>5</w:t>
            </w:r>
          </w:p>
        </w:tc>
        <w:tc>
          <w:tcPr>
            <w:tcW w:w="210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default" w:ascii="宋体" w:hAnsi="宋体" w:eastAsia="宋体" w:cs="仿宋"/>
                <w:color w:val="auto"/>
                <w:sz w:val="28"/>
                <w:szCs w:val="28"/>
                <w:highlight w:val="none"/>
                <w:lang w:val="en-US" w:eastAsia="zh-CN"/>
              </w:rPr>
            </w:pPr>
            <w:r>
              <w:rPr>
                <w:rFonts w:hint="eastAsia" w:ascii="宋体" w:hAnsi="宋体" w:cs="仿宋"/>
                <w:color w:val="auto"/>
                <w:sz w:val="28"/>
                <w:szCs w:val="28"/>
                <w:highlight w:val="none"/>
                <w:lang w:val="en-US" w:eastAsia="zh-CN"/>
              </w:rPr>
              <w:t>25</w:t>
            </w: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eastAsia" w:ascii="宋体" w:hAnsi="宋体" w:eastAsia="宋体" w:cs="仿宋"/>
                <w:color w:val="auto"/>
                <w:sz w:val="28"/>
                <w:szCs w:val="28"/>
                <w:highlight w:val="none"/>
                <w:lang w:eastAsia="zh-CN"/>
              </w:rPr>
            </w:pPr>
            <w:r>
              <w:rPr>
                <w:rFonts w:hint="eastAsia" w:ascii="宋体" w:hAnsi="宋体" w:cs="仿宋"/>
                <w:color w:val="auto"/>
                <w:sz w:val="28"/>
                <w:szCs w:val="28"/>
                <w:highlight w:val="none"/>
                <w:lang w:val="en-US" w:eastAsia="zh-CN"/>
              </w:rPr>
              <w:t>优</w:t>
            </w:r>
          </w:p>
        </w:tc>
      </w:tr>
      <w:tr>
        <w:tblPrEx>
          <w:tblCellMar>
            <w:top w:w="15" w:type="dxa"/>
            <w:left w:w="15" w:type="dxa"/>
            <w:bottom w:w="15" w:type="dxa"/>
            <w:right w:w="15" w:type="dxa"/>
          </w:tblCellMar>
        </w:tblPrEx>
        <w:trPr>
          <w:trHeight w:val="454" w:hRule="exact"/>
        </w:trPr>
        <w:tc>
          <w:tcPr>
            <w:tcW w:w="228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b/>
                <w:color w:val="auto"/>
                <w:sz w:val="28"/>
                <w:szCs w:val="28"/>
                <w:highlight w:val="none"/>
              </w:rPr>
            </w:pPr>
            <w:r>
              <w:rPr>
                <w:rFonts w:hint="eastAsia" w:ascii="宋体" w:hAnsi="宋体" w:cs="仿宋"/>
                <w:b/>
                <w:color w:val="auto"/>
                <w:kern w:val="0"/>
                <w:sz w:val="28"/>
                <w:szCs w:val="28"/>
                <w:highlight w:val="none"/>
              </w:rPr>
              <w:t>综合得分与等级</w:t>
            </w:r>
          </w:p>
        </w:tc>
        <w:tc>
          <w:tcPr>
            <w:tcW w:w="1985"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ascii="宋体" w:hAnsi="宋体" w:cs="仿宋"/>
                <w:b/>
                <w:color w:val="auto"/>
                <w:sz w:val="28"/>
                <w:szCs w:val="28"/>
                <w:highlight w:val="none"/>
              </w:rPr>
            </w:pPr>
            <w:r>
              <w:rPr>
                <w:rFonts w:hint="eastAsia" w:ascii="宋体" w:hAnsi="宋体" w:cs="仿宋"/>
                <w:b/>
                <w:color w:val="auto"/>
                <w:kern w:val="0"/>
                <w:sz w:val="28"/>
                <w:szCs w:val="28"/>
                <w:highlight w:val="none"/>
              </w:rPr>
              <w:t>100</w:t>
            </w:r>
          </w:p>
        </w:tc>
        <w:tc>
          <w:tcPr>
            <w:tcW w:w="2106"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eastAsia" w:ascii="宋体" w:hAnsi="宋体" w:eastAsia="宋体" w:cs="仿宋"/>
                <w:b/>
                <w:color w:val="auto"/>
                <w:sz w:val="28"/>
                <w:szCs w:val="28"/>
                <w:highlight w:val="none"/>
                <w:lang w:eastAsia="zh-CN"/>
              </w:rPr>
            </w:pPr>
            <w:r>
              <w:rPr>
                <w:rFonts w:hint="eastAsia" w:ascii="宋体" w:hAnsi="宋体" w:cs="仿宋"/>
                <w:b/>
                <w:color w:val="auto"/>
                <w:sz w:val="28"/>
                <w:szCs w:val="28"/>
                <w:highlight w:val="none"/>
                <w:lang w:eastAsia="zh-CN"/>
              </w:rPr>
              <w:t>87.91</w:t>
            </w:r>
          </w:p>
        </w:tc>
        <w:tc>
          <w:tcPr>
            <w:tcW w:w="2268"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exact"/>
              <w:jc w:val="center"/>
              <w:textAlignment w:val="center"/>
              <w:rPr>
                <w:rFonts w:hint="eastAsia" w:ascii="宋体" w:hAnsi="宋体" w:eastAsia="宋体" w:cs="仿宋"/>
                <w:b/>
                <w:color w:val="auto"/>
                <w:sz w:val="28"/>
                <w:szCs w:val="28"/>
                <w:highlight w:val="none"/>
                <w:lang w:eastAsia="zh-CN"/>
              </w:rPr>
            </w:pPr>
            <w:r>
              <w:rPr>
                <w:rFonts w:hint="eastAsia" w:ascii="宋体" w:hAnsi="宋体" w:cs="仿宋"/>
                <w:b/>
                <w:color w:val="auto"/>
                <w:sz w:val="28"/>
                <w:szCs w:val="28"/>
                <w:highlight w:val="none"/>
                <w:lang w:val="en-US" w:eastAsia="zh-CN"/>
              </w:rPr>
              <w:t>良</w:t>
            </w:r>
          </w:p>
        </w:tc>
      </w:tr>
    </w:tbl>
    <w:p>
      <w:pPr>
        <w:spacing w:line="560" w:lineRule="exact"/>
        <w:ind w:firstLine="643" w:firstLineChars="200"/>
        <w:outlineLvl w:val="1"/>
        <w:rPr>
          <w:rFonts w:ascii="楷体_GB2312" w:hAnsi="楷体" w:eastAsia="楷体_GB2312" w:cs="楷体"/>
          <w:b/>
          <w:bCs/>
          <w:color w:val="auto"/>
          <w:kern w:val="0"/>
          <w:sz w:val="32"/>
          <w:szCs w:val="32"/>
          <w:highlight w:val="none"/>
        </w:rPr>
      </w:pPr>
      <w:bookmarkStart w:id="61" w:name="_Toc28361"/>
      <w:bookmarkStart w:id="62" w:name="_Toc6034"/>
      <w:bookmarkStart w:id="63" w:name="_Toc4969"/>
      <w:r>
        <w:rPr>
          <w:rFonts w:hint="eastAsia" w:ascii="楷体_GB2312" w:hAnsi="楷体" w:eastAsia="楷体_GB2312"/>
          <w:b/>
          <w:color w:val="auto"/>
          <w:sz w:val="32"/>
          <w:szCs w:val="32"/>
          <w:highlight w:val="none"/>
        </w:rPr>
        <w:t>（四）</w:t>
      </w:r>
      <w:r>
        <w:rPr>
          <w:rFonts w:hint="eastAsia" w:ascii="楷体_GB2312" w:hAnsi="楷体" w:eastAsia="楷体_GB2312" w:cs="楷体"/>
          <w:b/>
          <w:bCs/>
          <w:color w:val="auto"/>
          <w:kern w:val="0"/>
          <w:sz w:val="32"/>
          <w:szCs w:val="32"/>
          <w:highlight w:val="none"/>
        </w:rPr>
        <w:t>其他需说明的问题</w:t>
      </w:r>
      <w:bookmarkEnd w:id="61"/>
      <w:bookmarkEnd w:id="62"/>
      <w:bookmarkEnd w:id="63"/>
    </w:p>
    <w:p>
      <w:pPr>
        <w:spacing w:line="560" w:lineRule="exact"/>
        <w:ind w:firstLine="643" w:firstLineChars="200"/>
        <w:rPr>
          <w:rFonts w:ascii="仿宋_GB2312" w:hAnsi="仿宋" w:eastAsia="仿宋_GB2312"/>
          <w:color w:val="auto"/>
          <w:sz w:val="32"/>
          <w:szCs w:val="32"/>
          <w:highlight w:val="none"/>
        </w:rPr>
      </w:pPr>
      <w:r>
        <w:rPr>
          <w:rFonts w:hint="eastAsia" w:ascii="仿宋_GB2312" w:hAnsi="仿宋" w:eastAsia="仿宋_GB2312" w:cs="楷体"/>
          <w:b/>
          <w:bCs/>
          <w:color w:val="auto"/>
          <w:sz w:val="32"/>
          <w:szCs w:val="32"/>
          <w:highlight w:val="none"/>
        </w:rPr>
        <w:t>1.本次项目评价中存在局限性的说明</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本绩效评价报告的评价分析与评价结论的可靠性一方面取决于项目单位提供资料的合规性、真实性和完整性；同时也取决于评价工作人员对项目的了解程度、专业知识和评价能力的限制，对</w:t>
      </w:r>
      <w:r>
        <w:rPr>
          <w:rFonts w:hint="eastAsia" w:ascii="仿宋_GB2312" w:hAnsi="仿宋" w:eastAsia="仿宋_GB2312"/>
          <w:color w:val="auto"/>
          <w:sz w:val="32"/>
          <w:szCs w:val="32"/>
          <w:highlight w:val="none"/>
        </w:rPr>
        <w:t>指标评价的把握性，一定程度上影响本次绩效评价结论的准确性。</w:t>
      </w:r>
    </w:p>
    <w:p>
      <w:pPr>
        <w:spacing w:line="560" w:lineRule="exact"/>
        <w:rPr>
          <w:rFonts w:ascii="仿宋_GB2312" w:hAnsi="仿宋" w:eastAsia="仿宋_GB2312" w:cs="楷体"/>
          <w:b/>
          <w:bCs/>
          <w:color w:val="auto"/>
          <w:sz w:val="32"/>
          <w:szCs w:val="32"/>
          <w:highlight w:val="none"/>
        </w:rPr>
      </w:pPr>
      <w:r>
        <w:rPr>
          <w:rFonts w:hint="eastAsia" w:ascii="仿宋_GB2312" w:hAnsi="楷体" w:eastAsia="仿宋_GB2312" w:cs="楷体"/>
          <w:b/>
          <w:bCs/>
          <w:color w:val="auto"/>
          <w:sz w:val="32"/>
          <w:szCs w:val="32"/>
          <w:highlight w:val="none"/>
        </w:rPr>
        <w:t xml:space="preserve">  </w:t>
      </w:r>
      <w:r>
        <w:rPr>
          <w:rFonts w:hint="eastAsia" w:ascii="仿宋_GB2312" w:hAnsi="仿宋" w:eastAsia="仿宋_GB2312" w:cs="楷体"/>
          <w:b/>
          <w:bCs/>
          <w:color w:val="auto"/>
          <w:sz w:val="32"/>
          <w:szCs w:val="32"/>
          <w:highlight w:val="none"/>
        </w:rPr>
        <w:t xml:space="preserve">  2.提示报告使用者注意事项的说明</w:t>
      </w:r>
    </w:p>
    <w:p>
      <w:pPr>
        <w:spacing w:line="560" w:lineRule="exact"/>
        <w:ind w:firstLine="640" w:firstLineChars="200"/>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本绩效评价报告的评价结论和评价意见，仅是针对通城经济开发区2022年度项目服务经费项目绩效目标而进行的，不应视为是对项目单位工作的全面评价，也不应视为是对项目单位财务状况的客观性、公允性发表评审意见。因使用不当而发生的不利事项，与本次执行评价的第三方评价机构和执行评价的工作人员无关。</w:t>
      </w:r>
    </w:p>
    <w:p>
      <w:pPr>
        <w:tabs>
          <w:tab w:val="left" w:pos="10245"/>
        </w:tabs>
        <w:spacing w:line="560" w:lineRule="exact"/>
        <w:ind w:firstLine="643" w:firstLineChars="200"/>
        <w:outlineLvl w:val="1"/>
        <w:rPr>
          <w:rFonts w:ascii="楷体_GB2312" w:hAnsi="楷体_GB2312" w:eastAsia="楷体_GB2312" w:cs="楷体_GB2312"/>
          <w:b/>
          <w:color w:val="auto"/>
          <w:sz w:val="32"/>
          <w:szCs w:val="32"/>
          <w:highlight w:val="none"/>
        </w:rPr>
      </w:pPr>
      <w:bookmarkStart w:id="64" w:name="_Toc31093"/>
      <w:bookmarkStart w:id="65" w:name="_Toc24509"/>
      <w:r>
        <w:rPr>
          <w:rFonts w:hint="eastAsia" w:ascii="楷体_GB2312" w:hAnsi="楷体_GB2312" w:eastAsia="楷体_GB2312" w:cs="楷体_GB2312"/>
          <w:b/>
          <w:color w:val="auto"/>
          <w:sz w:val="32"/>
          <w:szCs w:val="32"/>
          <w:highlight w:val="none"/>
        </w:rPr>
        <w:t>（五）其他佐证材料</w:t>
      </w:r>
      <w:bookmarkEnd w:id="64"/>
      <w:bookmarkEnd w:id="65"/>
    </w:p>
    <w:p>
      <w:pPr>
        <w:tabs>
          <w:tab w:val="left" w:pos="10245"/>
        </w:tabs>
        <w:spacing w:line="560" w:lineRule="exact"/>
        <w:ind w:firstLine="600"/>
        <w:rPr>
          <w:rFonts w:ascii="仿宋_GB2312" w:hAnsi="仿宋" w:eastAsia="仿宋_GB2312" w:cs="楷体"/>
          <w:color w:val="auto"/>
          <w:sz w:val="32"/>
          <w:szCs w:val="32"/>
          <w:highlight w:val="none"/>
        </w:rPr>
      </w:pPr>
      <w:r>
        <w:rPr>
          <w:rFonts w:hint="eastAsia" w:ascii="仿宋_GB2312" w:hAnsi="仿宋" w:eastAsia="仿宋_GB2312" w:cs="楷体"/>
          <w:color w:val="auto"/>
          <w:sz w:val="32"/>
          <w:szCs w:val="32"/>
          <w:highlight w:val="none"/>
        </w:rPr>
        <w:t>1.通城经济开发区2022年度项目服务经费</w:t>
      </w:r>
      <w:r>
        <w:rPr>
          <w:rFonts w:hint="eastAsia" w:ascii="仿宋_GB2312" w:hAnsi="仿宋" w:eastAsia="仿宋_GB2312" w:cs="宋体"/>
          <w:color w:val="auto"/>
          <w:sz w:val="32"/>
          <w:szCs w:val="32"/>
          <w:highlight w:val="none"/>
        </w:rPr>
        <w:t>项目</w:t>
      </w:r>
      <w:r>
        <w:rPr>
          <w:rFonts w:hint="eastAsia" w:ascii="仿宋_GB2312" w:hAnsi="仿宋" w:eastAsia="仿宋_GB2312" w:cs="楷体"/>
          <w:color w:val="auto"/>
          <w:sz w:val="32"/>
          <w:szCs w:val="32"/>
          <w:highlight w:val="none"/>
        </w:rPr>
        <w:t>绩效评价指标体系</w:t>
      </w:r>
    </w:p>
    <w:p>
      <w:pPr>
        <w:tabs>
          <w:tab w:val="left" w:pos="10245"/>
        </w:tabs>
        <w:spacing w:line="560" w:lineRule="exact"/>
        <w:ind w:firstLine="600"/>
        <w:rPr>
          <w:rFonts w:ascii="仿宋_GB2312" w:hAnsi="仿宋" w:eastAsia="仿宋_GB2312" w:cs="楷体"/>
          <w:color w:val="auto"/>
          <w:sz w:val="32"/>
          <w:szCs w:val="32"/>
          <w:highlight w:val="none"/>
        </w:rPr>
      </w:pPr>
      <w:r>
        <w:rPr>
          <w:rFonts w:hint="eastAsia" w:ascii="仿宋_GB2312" w:hAnsi="仿宋" w:eastAsia="仿宋_GB2312" w:cs="楷体"/>
          <w:color w:val="auto"/>
          <w:sz w:val="32"/>
          <w:szCs w:val="32"/>
          <w:highlight w:val="none"/>
        </w:rPr>
        <w:t>2</w:t>
      </w:r>
      <w:r>
        <w:rPr>
          <w:rFonts w:ascii="仿宋_GB2312" w:hAnsi="仿宋" w:eastAsia="仿宋_GB2312" w:cs="楷体"/>
          <w:color w:val="auto"/>
          <w:sz w:val="32"/>
          <w:szCs w:val="32"/>
          <w:highlight w:val="none"/>
        </w:rPr>
        <w:t>.</w:t>
      </w:r>
      <w:r>
        <w:rPr>
          <w:rFonts w:hint="eastAsia" w:ascii="仿宋_GB2312" w:hAnsi="仿宋" w:eastAsia="仿宋_GB2312" w:cs="楷体"/>
          <w:color w:val="auto"/>
          <w:sz w:val="32"/>
          <w:szCs w:val="32"/>
          <w:highlight w:val="none"/>
        </w:rPr>
        <w:t>通城经济开发区2022年度项目服务经费</w:t>
      </w:r>
      <w:r>
        <w:rPr>
          <w:rFonts w:hint="eastAsia" w:ascii="仿宋_GB2312" w:hAnsi="仿宋" w:eastAsia="仿宋_GB2312" w:cs="宋体"/>
          <w:color w:val="auto"/>
          <w:sz w:val="32"/>
          <w:szCs w:val="32"/>
          <w:highlight w:val="none"/>
        </w:rPr>
        <w:t>项目</w:t>
      </w:r>
      <w:r>
        <w:rPr>
          <w:rFonts w:hint="eastAsia" w:ascii="仿宋_GB2312" w:hAnsi="仿宋" w:eastAsia="仿宋_GB2312" w:cs="楷体"/>
          <w:color w:val="auto"/>
          <w:sz w:val="32"/>
          <w:szCs w:val="32"/>
          <w:highlight w:val="none"/>
        </w:rPr>
        <w:t>绩效评价指标得分表</w:t>
      </w:r>
    </w:p>
    <w:p>
      <w:pPr>
        <w:tabs>
          <w:tab w:val="left" w:pos="10245"/>
        </w:tabs>
        <w:spacing w:line="560" w:lineRule="exact"/>
        <w:ind w:firstLine="600"/>
        <w:rPr>
          <w:rFonts w:ascii="仿宋_GB2312" w:hAnsi="仿宋" w:eastAsia="仿宋_GB2312" w:cs="楷体"/>
          <w:color w:val="auto"/>
          <w:sz w:val="32"/>
          <w:szCs w:val="32"/>
          <w:highlight w:val="none"/>
        </w:rPr>
      </w:pPr>
      <w:r>
        <w:rPr>
          <w:rFonts w:ascii="仿宋_GB2312" w:hAnsi="仿宋" w:eastAsia="仿宋_GB2312" w:cs="楷体"/>
          <w:color w:val="auto"/>
          <w:sz w:val="32"/>
          <w:szCs w:val="32"/>
          <w:highlight w:val="none"/>
        </w:rPr>
        <w:t>3</w:t>
      </w:r>
      <w:r>
        <w:rPr>
          <w:rFonts w:hint="eastAsia" w:ascii="仿宋_GB2312" w:hAnsi="仿宋" w:eastAsia="仿宋_GB2312" w:cs="楷体"/>
          <w:color w:val="auto"/>
          <w:sz w:val="32"/>
          <w:szCs w:val="32"/>
          <w:highlight w:val="none"/>
        </w:rPr>
        <w:t>.项目单位座谈记录</w:t>
      </w:r>
    </w:p>
    <w:p>
      <w:pPr>
        <w:tabs>
          <w:tab w:val="left" w:pos="10245"/>
        </w:tabs>
        <w:spacing w:line="560" w:lineRule="exact"/>
        <w:ind w:firstLine="600"/>
        <w:rPr>
          <w:rFonts w:hint="eastAsia" w:ascii="仿宋_GB2312" w:hAnsi="仿宋" w:eastAsia="仿宋_GB2312" w:cs="楷体"/>
          <w:color w:val="auto"/>
          <w:sz w:val="32"/>
          <w:szCs w:val="32"/>
          <w:highlight w:val="none"/>
        </w:rPr>
      </w:pPr>
      <w:r>
        <w:rPr>
          <w:rFonts w:ascii="仿宋_GB2312" w:hAnsi="仿宋" w:eastAsia="仿宋_GB2312" w:cs="楷体"/>
          <w:color w:val="auto"/>
          <w:sz w:val="32"/>
          <w:szCs w:val="32"/>
          <w:highlight w:val="none"/>
        </w:rPr>
        <w:t>4</w:t>
      </w:r>
      <w:r>
        <w:rPr>
          <w:rFonts w:hint="eastAsia" w:ascii="仿宋_GB2312" w:hAnsi="仿宋" w:eastAsia="仿宋_GB2312" w:cs="楷体"/>
          <w:color w:val="auto"/>
          <w:sz w:val="32"/>
          <w:szCs w:val="32"/>
          <w:highlight w:val="none"/>
        </w:rPr>
        <w:t>.第三方绩效评价工作实施方案</w:t>
      </w:r>
    </w:p>
    <w:p>
      <w:pPr>
        <w:tabs>
          <w:tab w:val="left" w:pos="10245"/>
        </w:tabs>
        <w:spacing w:line="560" w:lineRule="exact"/>
        <w:ind w:firstLine="600"/>
        <w:rPr>
          <w:rFonts w:hint="default" w:ascii="仿宋_GB2312" w:hAnsi="仿宋" w:eastAsia="仿宋_GB2312" w:cs="楷体"/>
          <w:color w:val="auto"/>
          <w:sz w:val="32"/>
          <w:szCs w:val="32"/>
          <w:highlight w:val="none"/>
          <w:lang w:val="en-US" w:eastAsia="zh-CN"/>
        </w:rPr>
      </w:pPr>
      <w:r>
        <w:rPr>
          <w:rFonts w:hint="eastAsia" w:ascii="仿宋_GB2312" w:hAnsi="仿宋" w:eastAsia="仿宋_GB2312" w:cs="楷体"/>
          <w:color w:val="auto"/>
          <w:sz w:val="32"/>
          <w:szCs w:val="32"/>
          <w:highlight w:val="none"/>
          <w:lang w:val="en-US" w:eastAsia="zh-CN"/>
        </w:rPr>
        <w:t>5.满意度调查问卷统计结果</w:t>
      </w:r>
    </w:p>
    <w:p>
      <w:pPr>
        <w:tabs>
          <w:tab w:val="left" w:pos="10245"/>
        </w:tabs>
        <w:spacing w:line="560" w:lineRule="exact"/>
        <w:ind w:firstLine="600"/>
        <w:rPr>
          <w:rFonts w:hint="eastAsia" w:ascii="仿宋_GB2312" w:hAnsi="仿宋" w:eastAsia="仿宋_GB2312" w:cs="楷体"/>
          <w:color w:val="auto"/>
          <w:sz w:val="32"/>
          <w:szCs w:val="32"/>
          <w:highlight w:val="none"/>
        </w:rPr>
      </w:pPr>
    </w:p>
    <w:p>
      <w:pPr>
        <w:spacing w:line="560" w:lineRule="exact"/>
        <w:ind w:firstLine="4480" w:firstLineChars="1400"/>
        <w:rPr>
          <w:rFonts w:ascii="仿宋_GB2312" w:hAnsi="楷体" w:eastAsia="仿宋_GB2312" w:cs="楷体"/>
          <w:color w:val="auto"/>
          <w:sz w:val="32"/>
          <w:szCs w:val="32"/>
          <w:highlight w:val="none"/>
        </w:rPr>
      </w:pPr>
      <w:r>
        <w:rPr>
          <w:rFonts w:hint="eastAsia" w:ascii="仿宋_GB2312" w:hAnsi="楷体" w:eastAsia="仿宋_GB2312" w:cs="楷体"/>
          <w:color w:val="auto"/>
          <w:sz w:val="32"/>
          <w:szCs w:val="32"/>
          <w:highlight w:val="none"/>
        </w:rPr>
        <w:t>湖北恒信会计师事务有限公司</w:t>
      </w:r>
    </w:p>
    <w:p>
      <w:pPr>
        <w:spacing w:line="560" w:lineRule="exact"/>
        <w:ind w:firstLine="5440" w:firstLineChars="1700"/>
        <w:rPr>
          <w:rFonts w:ascii="仿宋_GB2312" w:hAnsi="楷体" w:eastAsia="仿宋_GB2312" w:cs="楷体"/>
          <w:color w:val="auto"/>
          <w:sz w:val="32"/>
          <w:szCs w:val="32"/>
          <w:highlight w:val="none"/>
        </w:rPr>
      </w:pPr>
      <w:r>
        <w:rPr>
          <w:rFonts w:hint="eastAsia" w:ascii="仿宋_GB2312" w:hAnsi="楷体" w:eastAsia="仿宋_GB2312" w:cs="楷体"/>
          <w:color w:val="auto"/>
          <w:sz w:val="32"/>
          <w:szCs w:val="32"/>
          <w:highlight w:val="none"/>
        </w:rPr>
        <w:t>202</w:t>
      </w:r>
      <w:r>
        <w:rPr>
          <w:rFonts w:ascii="仿宋_GB2312" w:hAnsi="楷体" w:eastAsia="仿宋_GB2312" w:cs="楷体"/>
          <w:color w:val="auto"/>
          <w:sz w:val="32"/>
          <w:szCs w:val="32"/>
          <w:highlight w:val="none"/>
        </w:rPr>
        <w:t>3</w:t>
      </w:r>
      <w:r>
        <w:rPr>
          <w:rFonts w:hint="eastAsia" w:ascii="仿宋_GB2312" w:hAnsi="楷体" w:eastAsia="仿宋_GB2312" w:cs="楷体"/>
          <w:color w:val="auto"/>
          <w:sz w:val="32"/>
          <w:szCs w:val="32"/>
          <w:highlight w:val="none"/>
        </w:rPr>
        <w:t>年</w:t>
      </w:r>
      <w:r>
        <w:rPr>
          <w:rFonts w:hint="eastAsia" w:ascii="仿宋_GB2312" w:hAnsi="楷体" w:eastAsia="仿宋_GB2312" w:cs="楷体"/>
          <w:color w:val="auto"/>
          <w:sz w:val="32"/>
          <w:szCs w:val="32"/>
          <w:highlight w:val="none"/>
          <w:lang w:val="en-US" w:eastAsia="zh-CN"/>
        </w:rPr>
        <w:t>9</w:t>
      </w:r>
      <w:r>
        <w:rPr>
          <w:rFonts w:hint="eastAsia" w:ascii="仿宋_GB2312" w:hAnsi="楷体" w:eastAsia="仿宋_GB2312" w:cs="楷体"/>
          <w:color w:val="auto"/>
          <w:sz w:val="32"/>
          <w:szCs w:val="32"/>
          <w:highlight w:val="none"/>
        </w:rPr>
        <w:t>月</w:t>
      </w:r>
      <w:r>
        <w:rPr>
          <w:rFonts w:hint="eastAsia" w:ascii="仿宋_GB2312" w:hAnsi="楷体" w:eastAsia="仿宋_GB2312" w:cs="楷体"/>
          <w:color w:val="auto"/>
          <w:sz w:val="32"/>
          <w:szCs w:val="32"/>
          <w:highlight w:val="none"/>
          <w:lang w:val="en-US" w:eastAsia="zh-CN"/>
        </w:rPr>
        <w:t>20</w:t>
      </w:r>
      <w:r>
        <w:rPr>
          <w:rFonts w:hint="eastAsia" w:ascii="仿宋_GB2312" w:hAnsi="楷体" w:eastAsia="仿宋_GB2312" w:cs="楷体"/>
          <w:color w:val="auto"/>
          <w:sz w:val="32"/>
          <w:szCs w:val="32"/>
          <w:highlight w:val="none"/>
        </w:rPr>
        <w:t>日</w:t>
      </w:r>
    </w:p>
    <w:sectPr>
      <w:footerReference r:id="rId10" w:type="default"/>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pPr>
    <w:r>
      <w:rPr>
        <w:rFonts w:hint="eastAsia"/>
      </w:rPr>
      <w:t xml:space="preserve">                                                                                          </w:t>
    </w:r>
    <w:r>
      <w:rPr>
        <w:rStyle w:val="17"/>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7"/>
      </w:rPr>
    </w:pPr>
    <w:r>
      <w:fldChar w:fldCharType="begin"/>
    </w:r>
    <w:r>
      <w:rPr>
        <w:rStyle w:val="17"/>
      </w:rPr>
      <w:instrText xml:space="preserve">PAGE  </w:instrText>
    </w:r>
    <w:r>
      <w:fldChar w:fldCharType="separate"/>
    </w:r>
    <w:r>
      <w:rPr>
        <w:rStyle w:val="17"/>
      </w:rPr>
      <w:t>8</w:t>
    </w:r>
    <w:r>
      <w:fldChar w:fldCharType="end"/>
    </w:r>
  </w:p>
  <w:p>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rPr>
      <w:t xml:space="preserve">                                                                                             </w:t>
    </w:r>
    <w:r>
      <w:rPr>
        <w:rStyle w:val="17"/>
        <w:rFonts w:hint="eastAsia"/>
      </w:rPr>
      <w:t xml:space="preserve">  </w:t>
    </w:r>
    <w:r>
      <w:fldChar w:fldCharType="begin"/>
    </w:r>
    <w:r>
      <w:rPr>
        <w:rStyle w:val="17"/>
      </w:rPr>
      <w:instrText xml:space="preserve"> PAGE </w:instrText>
    </w:r>
    <w:r>
      <w:fldChar w:fldCharType="separate"/>
    </w:r>
    <w:r>
      <w:rPr>
        <w:rStyle w:val="17"/>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pPr>
    <w: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 </w:t>
                          </w:r>
                          <w:r>
                            <w:fldChar w:fldCharType="begin"/>
                          </w:r>
                          <w:r>
                            <w:instrText xml:space="preserve"> PAGE  \* MERGEFORMAT </w:instrText>
                          </w:r>
                          <w:r>
                            <w:fldChar w:fldCharType="separate"/>
                          </w:r>
                          <w:r>
                            <w:t>13</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6"/>
                    </w:pPr>
                    <w:r>
                      <w:t xml:space="preserve">— </w:t>
                    </w:r>
                    <w:r>
                      <w:fldChar w:fldCharType="begin"/>
                    </w:r>
                    <w:r>
                      <w:instrText xml:space="preserve"> PAGE  \* MERGEFORMAT </w:instrText>
                    </w:r>
                    <w:r>
                      <w:fldChar w:fldCharType="separate"/>
                    </w:r>
                    <w:r>
                      <w:t>13</w:t>
                    </w:r>
                    <w:r>
                      <w:fldChar w:fldCharType="end"/>
                    </w:r>
                    <w:r>
                      <w:t xml:space="preserve"> —</w:t>
                    </w:r>
                  </w:p>
                </w:txbxContent>
              </v:textbox>
            </v:shape>
          </w:pict>
        </mc:Fallback>
      </mc:AlternateContent>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spacing w:line="500" w:lineRule="exact"/>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kZTg2MGQ0YTQ1YzJlN2U3YTEyMDYxYzdiZDQ0OWIifQ=="/>
  </w:docVars>
  <w:rsids>
    <w:rsidRoot w:val="0024740E"/>
    <w:rsid w:val="00000969"/>
    <w:rsid w:val="00003A91"/>
    <w:rsid w:val="00003BC4"/>
    <w:rsid w:val="00003D78"/>
    <w:rsid w:val="0000458D"/>
    <w:rsid w:val="0000523B"/>
    <w:rsid w:val="0000562A"/>
    <w:rsid w:val="00006F13"/>
    <w:rsid w:val="000075D6"/>
    <w:rsid w:val="00007C34"/>
    <w:rsid w:val="00007C3A"/>
    <w:rsid w:val="00010474"/>
    <w:rsid w:val="00010BF3"/>
    <w:rsid w:val="00011973"/>
    <w:rsid w:val="000131BE"/>
    <w:rsid w:val="0001370A"/>
    <w:rsid w:val="00014020"/>
    <w:rsid w:val="0001763E"/>
    <w:rsid w:val="00017CEA"/>
    <w:rsid w:val="000254D3"/>
    <w:rsid w:val="00025A20"/>
    <w:rsid w:val="00025EE6"/>
    <w:rsid w:val="0002639B"/>
    <w:rsid w:val="0002687F"/>
    <w:rsid w:val="0003010F"/>
    <w:rsid w:val="000302F7"/>
    <w:rsid w:val="00030A7C"/>
    <w:rsid w:val="00030E40"/>
    <w:rsid w:val="0003120F"/>
    <w:rsid w:val="00031D0C"/>
    <w:rsid w:val="0003458B"/>
    <w:rsid w:val="00035EEC"/>
    <w:rsid w:val="00036208"/>
    <w:rsid w:val="000408B2"/>
    <w:rsid w:val="00043C77"/>
    <w:rsid w:val="00043E4E"/>
    <w:rsid w:val="00044931"/>
    <w:rsid w:val="000468F1"/>
    <w:rsid w:val="000475B1"/>
    <w:rsid w:val="000479A3"/>
    <w:rsid w:val="0005112F"/>
    <w:rsid w:val="00051732"/>
    <w:rsid w:val="000523F0"/>
    <w:rsid w:val="00052B2C"/>
    <w:rsid w:val="00053840"/>
    <w:rsid w:val="00056F9A"/>
    <w:rsid w:val="0005781D"/>
    <w:rsid w:val="00057E56"/>
    <w:rsid w:val="00060A7C"/>
    <w:rsid w:val="00061A55"/>
    <w:rsid w:val="000625E1"/>
    <w:rsid w:val="00063296"/>
    <w:rsid w:val="00065F40"/>
    <w:rsid w:val="0006636A"/>
    <w:rsid w:val="00067401"/>
    <w:rsid w:val="000706C7"/>
    <w:rsid w:val="00070879"/>
    <w:rsid w:val="00072933"/>
    <w:rsid w:val="000730A9"/>
    <w:rsid w:val="00075989"/>
    <w:rsid w:val="00075C10"/>
    <w:rsid w:val="00076AF5"/>
    <w:rsid w:val="0007721E"/>
    <w:rsid w:val="000779F7"/>
    <w:rsid w:val="00077FA4"/>
    <w:rsid w:val="000821A6"/>
    <w:rsid w:val="0008305A"/>
    <w:rsid w:val="000839BB"/>
    <w:rsid w:val="00083DED"/>
    <w:rsid w:val="0008543B"/>
    <w:rsid w:val="00085C11"/>
    <w:rsid w:val="00090C55"/>
    <w:rsid w:val="00091157"/>
    <w:rsid w:val="000915A4"/>
    <w:rsid w:val="000929E7"/>
    <w:rsid w:val="00092B53"/>
    <w:rsid w:val="00096055"/>
    <w:rsid w:val="00096803"/>
    <w:rsid w:val="000975E5"/>
    <w:rsid w:val="00097733"/>
    <w:rsid w:val="000A0F63"/>
    <w:rsid w:val="000A15B0"/>
    <w:rsid w:val="000A19AB"/>
    <w:rsid w:val="000A3DA1"/>
    <w:rsid w:val="000A5707"/>
    <w:rsid w:val="000A6672"/>
    <w:rsid w:val="000B045D"/>
    <w:rsid w:val="000B08E3"/>
    <w:rsid w:val="000B1D83"/>
    <w:rsid w:val="000B2448"/>
    <w:rsid w:val="000B28DB"/>
    <w:rsid w:val="000B2FF9"/>
    <w:rsid w:val="000B3EF8"/>
    <w:rsid w:val="000B4063"/>
    <w:rsid w:val="000B4998"/>
    <w:rsid w:val="000B54BE"/>
    <w:rsid w:val="000B73ED"/>
    <w:rsid w:val="000B7A5A"/>
    <w:rsid w:val="000C0689"/>
    <w:rsid w:val="000C1821"/>
    <w:rsid w:val="000C27C7"/>
    <w:rsid w:val="000C2C09"/>
    <w:rsid w:val="000C36E5"/>
    <w:rsid w:val="000C4D40"/>
    <w:rsid w:val="000C55CF"/>
    <w:rsid w:val="000C5886"/>
    <w:rsid w:val="000C5DAF"/>
    <w:rsid w:val="000C68E3"/>
    <w:rsid w:val="000C6F9D"/>
    <w:rsid w:val="000D1672"/>
    <w:rsid w:val="000D18EC"/>
    <w:rsid w:val="000D1B32"/>
    <w:rsid w:val="000D1C47"/>
    <w:rsid w:val="000D4D70"/>
    <w:rsid w:val="000D5082"/>
    <w:rsid w:val="000D6587"/>
    <w:rsid w:val="000D705E"/>
    <w:rsid w:val="000D7536"/>
    <w:rsid w:val="000E0009"/>
    <w:rsid w:val="000E18AE"/>
    <w:rsid w:val="000E1A37"/>
    <w:rsid w:val="000E23A5"/>
    <w:rsid w:val="000E25A3"/>
    <w:rsid w:val="000E357A"/>
    <w:rsid w:val="000E35FB"/>
    <w:rsid w:val="000E3A1B"/>
    <w:rsid w:val="000E452B"/>
    <w:rsid w:val="000E54E3"/>
    <w:rsid w:val="000E5A0C"/>
    <w:rsid w:val="000E60E8"/>
    <w:rsid w:val="000E67FA"/>
    <w:rsid w:val="000E767A"/>
    <w:rsid w:val="000F3946"/>
    <w:rsid w:val="000F3EB2"/>
    <w:rsid w:val="000F76AC"/>
    <w:rsid w:val="00103499"/>
    <w:rsid w:val="0010355C"/>
    <w:rsid w:val="001035F1"/>
    <w:rsid w:val="00103AFE"/>
    <w:rsid w:val="001043DC"/>
    <w:rsid w:val="001048B8"/>
    <w:rsid w:val="00111034"/>
    <w:rsid w:val="00111AF9"/>
    <w:rsid w:val="00113F36"/>
    <w:rsid w:val="00114251"/>
    <w:rsid w:val="001144A4"/>
    <w:rsid w:val="00120CA0"/>
    <w:rsid w:val="00121F18"/>
    <w:rsid w:val="00122B17"/>
    <w:rsid w:val="00122C4C"/>
    <w:rsid w:val="00124B8E"/>
    <w:rsid w:val="0012524F"/>
    <w:rsid w:val="00125436"/>
    <w:rsid w:val="001256D9"/>
    <w:rsid w:val="00125D90"/>
    <w:rsid w:val="00125E8F"/>
    <w:rsid w:val="001302AC"/>
    <w:rsid w:val="00131DA0"/>
    <w:rsid w:val="00132249"/>
    <w:rsid w:val="001322F8"/>
    <w:rsid w:val="0013460B"/>
    <w:rsid w:val="00134793"/>
    <w:rsid w:val="0013495E"/>
    <w:rsid w:val="001370B3"/>
    <w:rsid w:val="00140592"/>
    <w:rsid w:val="0014180E"/>
    <w:rsid w:val="00143988"/>
    <w:rsid w:val="00143F3F"/>
    <w:rsid w:val="00144710"/>
    <w:rsid w:val="00145436"/>
    <w:rsid w:val="00145B1E"/>
    <w:rsid w:val="0015097A"/>
    <w:rsid w:val="00151EFA"/>
    <w:rsid w:val="00152224"/>
    <w:rsid w:val="00152F27"/>
    <w:rsid w:val="0015318A"/>
    <w:rsid w:val="00155DEA"/>
    <w:rsid w:val="001563EB"/>
    <w:rsid w:val="001617E4"/>
    <w:rsid w:val="00162703"/>
    <w:rsid w:val="001628DC"/>
    <w:rsid w:val="00162A36"/>
    <w:rsid w:val="00162F56"/>
    <w:rsid w:val="00165EC4"/>
    <w:rsid w:val="00171BC6"/>
    <w:rsid w:val="001721DD"/>
    <w:rsid w:val="00173701"/>
    <w:rsid w:val="0017441D"/>
    <w:rsid w:val="00174F04"/>
    <w:rsid w:val="001752D2"/>
    <w:rsid w:val="0018087F"/>
    <w:rsid w:val="00181743"/>
    <w:rsid w:val="00183814"/>
    <w:rsid w:val="00187E20"/>
    <w:rsid w:val="00190BDA"/>
    <w:rsid w:val="00190D53"/>
    <w:rsid w:val="0019181D"/>
    <w:rsid w:val="00192847"/>
    <w:rsid w:val="0019338F"/>
    <w:rsid w:val="0019382A"/>
    <w:rsid w:val="00193EC4"/>
    <w:rsid w:val="001950E5"/>
    <w:rsid w:val="00195C71"/>
    <w:rsid w:val="001978CA"/>
    <w:rsid w:val="001A136A"/>
    <w:rsid w:val="001A1E6B"/>
    <w:rsid w:val="001A2B48"/>
    <w:rsid w:val="001A2D80"/>
    <w:rsid w:val="001A3ED6"/>
    <w:rsid w:val="001A4416"/>
    <w:rsid w:val="001A5D5C"/>
    <w:rsid w:val="001A5EE5"/>
    <w:rsid w:val="001A6BBB"/>
    <w:rsid w:val="001A6F7E"/>
    <w:rsid w:val="001A77FA"/>
    <w:rsid w:val="001A7878"/>
    <w:rsid w:val="001B07A5"/>
    <w:rsid w:val="001B0BA6"/>
    <w:rsid w:val="001B26B6"/>
    <w:rsid w:val="001B3167"/>
    <w:rsid w:val="001B5012"/>
    <w:rsid w:val="001B65F5"/>
    <w:rsid w:val="001B6E24"/>
    <w:rsid w:val="001B78C1"/>
    <w:rsid w:val="001C1593"/>
    <w:rsid w:val="001C391D"/>
    <w:rsid w:val="001C4176"/>
    <w:rsid w:val="001C4617"/>
    <w:rsid w:val="001C4BC4"/>
    <w:rsid w:val="001C5237"/>
    <w:rsid w:val="001C5596"/>
    <w:rsid w:val="001C5D5A"/>
    <w:rsid w:val="001C6378"/>
    <w:rsid w:val="001C7488"/>
    <w:rsid w:val="001D0762"/>
    <w:rsid w:val="001D0859"/>
    <w:rsid w:val="001D3550"/>
    <w:rsid w:val="001D363F"/>
    <w:rsid w:val="001D3D6F"/>
    <w:rsid w:val="001D43DB"/>
    <w:rsid w:val="001D69F0"/>
    <w:rsid w:val="001E04B2"/>
    <w:rsid w:val="001E0DE6"/>
    <w:rsid w:val="001E28C5"/>
    <w:rsid w:val="001E4080"/>
    <w:rsid w:val="001E4801"/>
    <w:rsid w:val="001E4C8E"/>
    <w:rsid w:val="001E5A82"/>
    <w:rsid w:val="001E62F1"/>
    <w:rsid w:val="001E7E1A"/>
    <w:rsid w:val="001F0AAC"/>
    <w:rsid w:val="001F2626"/>
    <w:rsid w:val="001F48D5"/>
    <w:rsid w:val="001F4C16"/>
    <w:rsid w:val="001F4D53"/>
    <w:rsid w:val="001F5509"/>
    <w:rsid w:val="001F5FAF"/>
    <w:rsid w:val="001F6167"/>
    <w:rsid w:val="001F6F0C"/>
    <w:rsid w:val="001F7C16"/>
    <w:rsid w:val="00200A54"/>
    <w:rsid w:val="0020177A"/>
    <w:rsid w:val="0020318F"/>
    <w:rsid w:val="00203243"/>
    <w:rsid w:val="00203768"/>
    <w:rsid w:val="00211783"/>
    <w:rsid w:val="00212D45"/>
    <w:rsid w:val="00213F04"/>
    <w:rsid w:val="002149B9"/>
    <w:rsid w:val="00215211"/>
    <w:rsid w:val="002155A6"/>
    <w:rsid w:val="0022190D"/>
    <w:rsid w:val="002220B7"/>
    <w:rsid w:val="002224E0"/>
    <w:rsid w:val="00222A25"/>
    <w:rsid w:val="00223A05"/>
    <w:rsid w:val="00223FA1"/>
    <w:rsid w:val="0022411B"/>
    <w:rsid w:val="00224735"/>
    <w:rsid w:val="00224792"/>
    <w:rsid w:val="00225E69"/>
    <w:rsid w:val="0022634D"/>
    <w:rsid w:val="00227886"/>
    <w:rsid w:val="00230A09"/>
    <w:rsid w:val="00230E04"/>
    <w:rsid w:val="002311CE"/>
    <w:rsid w:val="00231466"/>
    <w:rsid w:val="00231A2D"/>
    <w:rsid w:val="00232F40"/>
    <w:rsid w:val="0023333B"/>
    <w:rsid w:val="0023379A"/>
    <w:rsid w:val="0023475E"/>
    <w:rsid w:val="00235935"/>
    <w:rsid w:val="00235D83"/>
    <w:rsid w:val="00236EF2"/>
    <w:rsid w:val="00237F04"/>
    <w:rsid w:val="002404DB"/>
    <w:rsid w:val="0024241F"/>
    <w:rsid w:val="0024310A"/>
    <w:rsid w:val="00245675"/>
    <w:rsid w:val="00245852"/>
    <w:rsid w:val="00245C93"/>
    <w:rsid w:val="00246451"/>
    <w:rsid w:val="00247178"/>
    <w:rsid w:val="0024740E"/>
    <w:rsid w:val="00250C13"/>
    <w:rsid w:val="00250C6D"/>
    <w:rsid w:val="00252120"/>
    <w:rsid w:val="00252DFD"/>
    <w:rsid w:val="00253D4F"/>
    <w:rsid w:val="00253EFD"/>
    <w:rsid w:val="002540B8"/>
    <w:rsid w:val="002549E4"/>
    <w:rsid w:val="00255397"/>
    <w:rsid w:val="002573E4"/>
    <w:rsid w:val="00261ED5"/>
    <w:rsid w:val="002702E8"/>
    <w:rsid w:val="002733E6"/>
    <w:rsid w:val="00276A57"/>
    <w:rsid w:val="00276A98"/>
    <w:rsid w:val="00276C72"/>
    <w:rsid w:val="00276DD6"/>
    <w:rsid w:val="00280E00"/>
    <w:rsid w:val="00281A0F"/>
    <w:rsid w:val="00282A76"/>
    <w:rsid w:val="00284F98"/>
    <w:rsid w:val="00285439"/>
    <w:rsid w:val="0028563B"/>
    <w:rsid w:val="00286114"/>
    <w:rsid w:val="00286349"/>
    <w:rsid w:val="0028695E"/>
    <w:rsid w:val="00287016"/>
    <w:rsid w:val="0028714A"/>
    <w:rsid w:val="00290202"/>
    <w:rsid w:val="00290A1D"/>
    <w:rsid w:val="00291687"/>
    <w:rsid w:val="00291CD0"/>
    <w:rsid w:val="002927D4"/>
    <w:rsid w:val="002933F3"/>
    <w:rsid w:val="00293D5A"/>
    <w:rsid w:val="00294F46"/>
    <w:rsid w:val="00295518"/>
    <w:rsid w:val="0029593E"/>
    <w:rsid w:val="00296308"/>
    <w:rsid w:val="002965DA"/>
    <w:rsid w:val="002A0692"/>
    <w:rsid w:val="002A0EDC"/>
    <w:rsid w:val="002A1260"/>
    <w:rsid w:val="002A2109"/>
    <w:rsid w:val="002A26FB"/>
    <w:rsid w:val="002A30A8"/>
    <w:rsid w:val="002A4810"/>
    <w:rsid w:val="002A5855"/>
    <w:rsid w:val="002A5DEA"/>
    <w:rsid w:val="002A6274"/>
    <w:rsid w:val="002A68D1"/>
    <w:rsid w:val="002A6E8F"/>
    <w:rsid w:val="002B1339"/>
    <w:rsid w:val="002B145D"/>
    <w:rsid w:val="002B1608"/>
    <w:rsid w:val="002B17A1"/>
    <w:rsid w:val="002B2128"/>
    <w:rsid w:val="002B2220"/>
    <w:rsid w:val="002B3700"/>
    <w:rsid w:val="002B4233"/>
    <w:rsid w:val="002B6269"/>
    <w:rsid w:val="002B764C"/>
    <w:rsid w:val="002C114B"/>
    <w:rsid w:val="002C1183"/>
    <w:rsid w:val="002C1879"/>
    <w:rsid w:val="002C2755"/>
    <w:rsid w:val="002C370A"/>
    <w:rsid w:val="002C449D"/>
    <w:rsid w:val="002C4895"/>
    <w:rsid w:val="002C4F85"/>
    <w:rsid w:val="002C51B4"/>
    <w:rsid w:val="002C53A5"/>
    <w:rsid w:val="002C6FCB"/>
    <w:rsid w:val="002C7A86"/>
    <w:rsid w:val="002D227E"/>
    <w:rsid w:val="002D3503"/>
    <w:rsid w:val="002D3AEE"/>
    <w:rsid w:val="002D51AC"/>
    <w:rsid w:val="002D6357"/>
    <w:rsid w:val="002D648D"/>
    <w:rsid w:val="002D66E4"/>
    <w:rsid w:val="002D6791"/>
    <w:rsid w:val="002D72C0"/>
    <w:rsid w:val="002E05EA"/>
    <w:rsid w:val="002E16A6"/>
    <w:rsid w:val="002E1930"/>
    <w:rsid w:val="002E20FC"/>
    <w:rsid w:val="002E6CB6"/>
    <w:rsid w:val="002F10A8"/>
    <w:rsid w:val="002F10B7"/>
    <w:rsid w:val="002F2172"/>
    <w:rsid w:val="002F2231"/>
    <w:rsid w:val="002F2E39"/>
    <w:rsid w:val="002F3A1C"/>
    <w:rsid w:val="002F4157"/>
    <w:rsid w:val="002F465A"/>
    <w:rsid w:val="002F6EB3"/>
    <w:rsid w:val="0030205A"/>
    <w:rsid w:val="0030734A"/>
    <w:rsid w:val="0031035D"/>
    <w:rsid w:val="00311994"/>
    <w:rsid w:val="00311AAB"/>
    <w:rsid w:val="00311F45"/>
    <w:rsid w:val="00312501"/>
    <w:rsid w:val="003130C8"/>
    <w:rsid w:val="00314C31"/>
    <w:rsid w:val="00315ABB"/>
    <w:rsid w:val="003165CA"/>
    <w:rsid w:val="00317DC5"/>
    <w:rsid w:val="00320F91"/>
    <w:rsid w:val="003216D5"/>
    <w:rsid w:val="003218B3"/>
    <w:rsid w:val="003219F2"/>
    <w:rsid w:val="00321DD1"/>
    <w:rsid w:val="00321F5C"/>
    <w:rsid w:val="0032405B"/>
    <w:rsid w:val="003244A0"/>
    <w:rsid w:val="00324669"/>
    <w:rsid w:val="00324A64"/>
    <w:rsid w:val="00325458"/>
    <w:rsid w:val="0032554C"/>
    <w:rsid w:val="00325D51"/>
    <w:rsid w:val="00325DF4"/>
    <w:rsid w:val="00327823"/>
    <w:rsid w:val="00327976"/>
    <w:rsid w:val="00330293"/>
    <w:rsid w:val="003308FE"/>
    <w:rsid w:val="00330E66"/>
    <w:rsid w:val="0033117D"/>
    <w:rsid w:val="00331714"/>
    <w:rsid w:val="00333C74"/>
    <w:rsid w:val="00334069"/>
    <w:rsid w:val="003363C6"/>
    <w:rsid w:val="0033664D"/>
    <w:rsid w:val="00336997"/>
    <w:rsid w:val="00337F37"/>
    <w:rsid w:val="00340103"/>
    <w:rsid w:val="0034056B"/>
    <w:rsid w:val="003408A8"/>
    <w:rsid w:val="00342AC5"/>
    <w:rsid w:val="00342BAB"/>
    <w:rsid w:val="003440E6"/>
    <w:rsid w:val="003457CF"/>
    <w:rsid w:val="00346380"/>
    <w:rsid w:val="0035137A"/>
    <w:rsid w:val="003526CD"/>
    <w:rsid w:val="00352944"/>
    <w:rsid w:val="003547BF"/>
    <w:rsid w:val="00354880"/>
    <w:rsid w:val="00354E0F"/>
    <w:rsid w:val="0035741C"/>
    <w:rsid w:val="003609AD"/>
    <w:rsid w:val="00360ED8"/>
    <w:rsid w:val="00360F99"/>
    <w:rsid w:val="00360FFB"/>
    <w:rsid w:val="00362CE3"/>
    <w:rsid w:val="0036317D"/>
    <w:rsid w:val="00364A72"/>
    <w:rsid w:val="00364FF7"/>
    <w:rsid w:val="003655F4"/>
    <w:rsid w:val="00365B80"/>
    <w:rsid w:val="00366075"/>
    <w:rsid w:val="0036667C"/>
    <w:rsid w:val="003673B7"/>
    <w:rsid w:val="00371425"/>
    <w:rsid w:val="003714EB"/>
    <w:rsid w:val="0037220E"/>
    <w:rsid w:val="00372374"/>
    <w:rsid w:val="00373096"/>
    <w:rsid w:val="00373607"/>
    <w:rsid w:val="00373B22"/>
    <w:rsid w:val="00377775"/>
    <w:rsid w:val="0037789F"/>
    <w:rsid w:val="00380401"/>
    <w:rsid w:val="0038165B"/>
    <w:rsid w:val="0038204A"/>
    <w:rsid w:val="00382335"/>
    <w:rsid w:val="00383D65"/>
    <w:rsid w:val="00383DAD"/>
    <w:rsid w:val="00384549"/>
    <w:rsid w:val="003856FC"/>
    <w:rsid w:val="00385996"/>
    <w:rsid w:val="00386DD6"/>
    <w:rsid w:val="0039041E"/>
    <w:rsid w:val="00390EA9"/>
    <w:rsid w:val="0039117B"/>
    <w:rsid w:val="00391CE2"/>
    <w:rsid w:val="0039224B"/>
    <w:rsid w:val="003925AE"/>
    <w:rsid w:val="003925C9"/>
    <w:rsid w:val="00394074"/>
    <w:rsid w:val="00394527"/>
    <w:rsid w:val="00394674"/>
    <w:rsid w:val="00395A8E"/>
    <w:rsid w:val="003962FB"/>
    <w:rsid w:val="0039716E"/>
    <w:rsid w:val="003A2252"/>
    <w:rsid w:val="003A267C"/>
    <w:rsid w:val="003A2A04"/>
    <w:rsid w:val="003A40B1"/>
    <w:rsid w:val="003A4426"/>
    <w:rsid w:val="003A54EB"/>
    <w:rsid w:val="003A5811"/>
    <w:rsid w:val="003A6BDB"/>
    <w:rsid w:val="003A7357"/>
    <w:rsid w:val="003A775E"/>
    <w:rsid w:val="003A7DA4"/>
    <w:rsid w:val="003A7F31"/>
    <w:rsid w:val="003B0995"/>
    <w:rsid w:val="003B0DA9"/>
    <w:rsid w:val="003B142A"/>
    <w:rsid w:val="003B2A4E"/>
    <w:rsid w:val="003B4E83"/>
    <w:rsid w:val="003B4F36"/>
    <w:rsid w:val="003B50D5"/>
    <w:rsid w:val="003B50E8"/>
    <w:rsid w:val="003B5997"/>
    <w:rsid w:val="003B5B96"/>
    <w:rsid w:val="003B5F80"/>
    <w:rsid w:val="003B5FAC"/>
    <w:rsid w:val="003B61DA"/>
    <w:rsid w:val="003B643B"/>
    <w:rsid w:val="003B7A55"/>
    <w:rsid w:val="003C019E"/>
    <w:rsid w:val="003C05BC"/>
    <w:rsid w:val="003C0C1D"/>
    <w:rsid w:val="003C21BE"/>
    <w:rsid w:val="003C2584"/>
    <w:rsid w:val="003C2D94"/>
    <w:rsid w:val="003C4C51"/>
    <w:rsid w:val="003C50EB"/>
    <w:rsid w:val="003C5246"/>
    <w:rsid w:val="003C59CF"/>
    <w:rsid w:val="003C6584"/>
    <w:rsid w:val="003C70F6"/>
    <w:rsid w:val="003D03A3"/>
    <w:rsid w:val="003D2462"/>
    <w:rsid w:val="003D47A8"/>
    <w:rsid w:val="003D679A"/>
    <w:rsid w:val="003D67EA"/>
    <w:rsid w:val="003E3130"/>
    <w:rsid w:val="003E48D2"/>
    <w:rsid w:val="003E495E"/>
    <w:rsid w:val="003E6502"/>
    <w:rsid w:val="003E685F"/>
    <w:rsid w:val="003E7C9C"/>
    <w:rsid w:val="003F216D"/>
    <w:rsid w:val="003F3039"/>
    <w:rsid w:val="003F314D"/>
    <w:rsid w:val="003F5BDD"/>
    <w:rsid w:val="003F7260"/>
    <w:rsid w:val="00400D8B"/>
    <w:rsid w:val="00401D9F"/>
    <w:rsid w:val="0040265C"/>
    <w:rsid w:val="00404588"/>
    <w:rsid w:val="004047B1"/>
    <w:rsid w:val="00406145"/>
    <w:rsid w:val="0040655D"/>
    <w:rsid w:val="00406AA8"/>
    <w:rsid w:val="00407111"/>
    <w:rsid w:val="0041026D"/>
    <w:rsid w:val="0041063B"/>
    <w:rsid w:val="0041101D"/>
    <w:rsid w:val="0041173B"/>
    <w:rsid w:val="00411A71"/>
    <w:rsid w:val="00412330"/>
    <w:rsid w:val="00412E7C"/>
    <w:rsid w:val="004133F7"/>
    <w:rsid w:val="00413F02"/>
    <w:rsid w:val="00416769"/>
    <w:rsid w:val="00422AE2"/>
    <w:rsid w:val="004242C6"/>
    <w:rsid w:val="004243CA"/>
    <w:rsid w:val="00426912"/>
    <w:rsid w:val="00426B98"/>
    <w:rsid w:val="004279D6"/>
    <w:rsid w:val="00430FD0"/>
    <w:rsid w:val="00431FDA"/>
    <w:rsid w:val="00433D46"/>
    <w:rsid w:val="00434421"/>
    <w:rsid w:val="0043621E"/>
    <w:rsid w:val="004413D4"/>
    <w:rsid w:val="0044160A"/>
    <w:rsid w:val="00441F41"/>
    <w:rsid w:val="00442530"/>
    <w:rsid w:val="00443E87"/>
    <w:rsid w:val="00445A1D"/>
    <w:rsid w:val="00450691"/>
    <w:rsid w:val="00450D8B"/>
    <w:rsid w:val="00451970"/>
    <w:rsid w:val="004524E3"/>
    <w:rsid w:val="00453BE0"/>
    <w:rsid w:val="00453D3C"/>
    <w:rsid w:val="00454322"/>
    <w:rsid w:val="004547ED"/>
    <w:rsid w:val="004555EC"/>
    <w:rsid w:val="0045627A"/>
    <w:rsid w:val="00456F56"/>
    <w:rsid w:val="0045705D"/>
    <w:rsid w:val="0046012B"/>
    <w:rsid w:val="0046037C"/>
    <w:rsid w:val="004612CE"/>
    <w:rsid w:val="0046228C"/>
    <w:rsid w:val="004625DD"/>
    <w:rsid w:val="00464C83"/>
    <w:rsid w:val="00464EF2"/>
    <w:rsid w:val="0046573C"/>
    <w:rsid w:val="00466C49"/>
    <w:rsid w:val="00467915"/>
    <w:rsid w:val="0047028D"/>
    <w:rsid w:val="00470465"/>
    <w:rsid w:val="0047085C"/>
    <w:rsid w:val="00470DDD"/>
    <w:rsid w:val="00471841"/>
    <w:rsid w:val="00471B4D"/>
    <w:rsid w:val="00471D2F"/>
    <w:rsid w:val="00472C0B"/>
    <w:rsid w:val="00473FE0"/>
    <w:rsid w:val="004746A1"/>
    <w:rsid w:val="004754EC"/>
    <w:rsid w:val="004758F8"/>
    <w:rsid w:val="00475F00"/>
    <w:rsid w:val="0048297D"/>
    <w:rsid w:val="004840CD"/>
    <w:rsid w:val="00484705"/>
    <w:rsid w:val="00485083"/>
    <w:rsid w:val="0048704C"/>
    <w:rsid w:val="0049050E"/>
    <w:rsid w:val="00491993"/>
    <w:rsid w:val="004927B0"/>
    <w:rsid w:val="0049427C"/>
    <w:rsid w:val="00494A31"/>
    <w:rsid w:val="00495DC3"/>
    <w:rsid w:val="00496B95"/>
    <w:rsid w:val="004979BD"/>
    <w:rsid w:val="00497B5C"/>
    <w:rsid w:val="00497BBC"/>
    <w:rsid w:val="004A20D5"/>
    <w:rsid w:val="004A354E"/>
    <w:rsid w:val="004A444A"/>
    <w:rsid w:val="004A4A23"/>
    <w:rsid w:val="004A5588"/>
    <w:rsid w:val="004A65F1"/>
    <w:rsid w:val="004A7016"/>
    <w:rsid w:val="004A730F"/>
    <w:rsid w:val="004B0153"/>
    <w:rsid w:val="004B0633"/>
    <w:rsid w:val="004B18E7"/>
    <w:rsid w:val="004B19DC"/>
    <w:rsid w:val="004B402E"/>
    <w:rsid w:val="004B4D99"/>
    <w:rsid w:val="004B6DF8"/>
    <w:rsid w:val="004B7F06"/>
    <w:rsid w:val="004C0EA8"/>
    <w:rsid w:val="004C1128"/>
    <w:rsid w:val="004C14A4"/>
    <w:rsid w:val="004C1882"/>
    <w:rsid w:val="004C19F1"/>
    <w:rsid w:val="004C313F"/>
    <w:rsid w:val="004C38A8"/>
    <w:rsid w:val="004C3DEC"/>
    <w:rsid w:val="004C49A5"/>
    <w:rsid w:val="004C4D39"/>
    <w:rsid w:val="004C56C6"/>
    <w:rsid w:val="004C64B9"/>
    <w:rsid w:val="004C78BF"/>
    <w:rsid w:val="004D0195"/>
    <w:rsid w:val="004D0C53"/>
    <w:rsid w:val="004D2B09"/>
    <w:rsid w:val="004D4238"/>
    <w:rsid w:val="004D53B8"/>
    <w:rsid w:val="004D5B67"/>
    <w:rsid w:val="004D685F"/>
    <w:rsid w:val="004D6884"/>
    <w:rsid w:val="004E0778"/>
    <w:rsid w:val="004E2BE7"/>
    <w:rsid w:val="004E2FCF"/>
    <w:rsid w:val="004E3E1F"/>
    <w:rsid w:val="004E4060"/>
    <w:rsid w:val="004E468B"/>
    <w:rsid w:val="004E5250"/>
    <w:rsid w:val="004E679C"/>
    <w:rsid w:val="004E7E56"/>
    <w:rsid w:val="004F209B"/>
    <w:rsid w:val="004F3088"/>
    <w:rsid w:val="004F3C8A"/>
    <w:rsid w:val="004F3CF0"/>
    <w:rsid w:val="004F52CB"/>
    <w:rsid w:val="004F73A4"/>
    <w:rsid w:val="00500DE5"/>
    <w:rsid w:val="00501006"/>
    <w:rsid w:val="00501654"/>
    <w:rsid w:val="005019F2"/>
    <w:rsid w:val="005020EE"/>
    <w:rsid w:val="00503636"/>
    <w:rsid w:val="00503D09"/>
    <w:rsid w:val="00503F72"/>
    <w:rsid w:val="00504325"/>
    <w:rsid w:val="005048D5"/>
    <w:rsid w:val="00505C95"/>
    <w:rsid w:val="00506926"/>
    <w:rsid w:val="00510CD7"/>
    <w:rsid w:val="00511B38"/>
    <w:rsid w:val="005125DC"/>
    <w:rsid w:val="005137C6"/>
    <w:rsid w:val="005141EB"/>
    <w:rsid w:val="0051556F"/>
    <w:rsid w:val="00516740"/>
    <w:rsid w:val="00516828"/>
    <w:rsid w:val="00516ED4"/>
    <w:rsid w:val="005234DB"/>
    <w:rsid w:val="00527D51"/>
    <w:rsid w:val="0053029E"/>
    <w:rsid w:val="00531D21"/>
    <w:rsid w:val="00531F22"/>
    <w:rsid w:val="0053265A"/>
    <w:rsid w:val="00532859"/>
    <w:rsid w:val="00532AE1"/>
    <w:rsid w:val="00534049"/>
    <w:rsid w:val="005344E8"/>
    <w:rsid w:val="00534618"/>
    <w:rsid w:val="00535EC3"/>
    <w:rsid w:val="00537836"/>
    <w:rsid w:val="00537DDC"/>
    <w:rsid w:val="005401D4"/>
    <w:rsid w:val="00540622"/>
    <w:rsid w:val="00542210"/>
    <w:rsid w:val="00545110"/>
    <w:rsid w:val="00547406"/>
    <w:rsid w:val="005507C3"/>
    <w:rsid w:val="00550A48"/>
    <w:rsid w:val="00550D9F"/>
    <w:rsid w:val="0055160E"/>
    <w:rsid w:val="00552232"/>
    <w:rsid w:val="00552D84"/>
    <w:rsid w:val="00552F10"/>
    <w:rsid w:val="00553860"/>
    <w:rsid w:val="00553A70"/>
    <w:rsid w:val="00554112"/>
    <w:rsid w:val="00554193"/>
    <w:rsid w:val="00554234"/>
    <w:rsid w:val="0055432C"/>
    <w:rsid w:val="005554F0"/>
    <w:rsid w:val="005561C5"/>
    <w:rsid w:val="005562BF"/>
    <w:rsid w:val="00560BDF"/>
    <w:rsid w:val="00560FC5"/>
    <w:rsid w:val="00561281"/>
    <w:rsid w:val="00561F1F"/>
    <w:rsid w:val="00562CD0"/>
    <w:rsid w:val="00564296"/>
    <w:rsid w:val="00564ABF"/>
    <w:rsid w:val="00565887"/>
    <w:rsid w:val="00565C8F"/>
    <w:rsid w:val="005668CD"/>
    <w:rsid w:val="00567304"/>
    <w:rsid w:val="00567DF8"/>
    <w:rsid w:val="00572C56"/>
    <w:rsid w:val="00572ED5"/>
    <w:rsid w:val="00572EE1"/>
    <w:rsid w:val="0057398C"/>
    <w:rsid w:val="005746C1"/>
    <w:rsid w:val="0057571B"/>
    <w:rsid w:val="00576C62"/>
    <w:rsid w:val="00577F25"/>
    <w:rsid w:val="00580714"/>
    <w:rsid w:val="0058071F"/>
    <w:rsid w:val="00580721"/>
    <w:rsid w:val="00581BCB"/>
    <w:rsid w:val="005829E7"/>
    <w:rsid w:val="0058423C"/>
    <w:rsid w:val="00585EA1"/>
    <w:rsid w:val="005875B6"/>
    <w:rsid w:val="00587A78"/>
    <w:rsid w:val="0059056E"/>
    <w:rsid w:val="00590F9E"/>
    <w:rsid w:val="00591A14"/>
    <w:rsid w:val="005922E2"/>
    <w:rsid w:val="005925E4"/>
    <w:rsid w:val="005935A4"/>
    <w:rsid w:val="00593B0D"/>
    <w:rsid w:val="00594F73"/>
    <w:rsid w:val="0059743A"/>
    <w:rsid w:val="00597453"/>
    <w:rsid w:val="005A0BE8"/>
    <w:rsid w:val="005A0C7C"/>
    <w:rsid w:val="005A0ED7"/>
    <w:rsid w:val="005A111E"/>
    <w:rsid w:val="005A1443"/>
    <w:rsid w:val="005A2093"/>
    <w:rsid w:val="005A372E"/>
    <w:rsid w:val="005A5AA9"/>
    <w:rsid w:val="005B039B"/>
    <w:rsid w:val="005B2367"/>
    <w:rsid w:val="005B2655"/>
    <w:rsid w:val="005B2C1C"/>
    <w:rsid w:val="005B3696"/>
    <w:rsid w:val="005B6156"/>
    <w:rsid w:val="005B66CA"/>
    <w:rsid w:val="005B7172"/>
    <w:rsid w:val="005B72E6"/>
    <w:rsid w:val="005B753A"/>
    <w:rsid w:val="005C18FA"/>
    <w:rsid w:val="005C1A4E"/>
    <w:rsid w:val="005C3407"/>
    <w:rsid w:val="005C377D"/>
    <w:rsid w:val="005C37D9"/>
    <w:rsid w:val="005C3AC3"/>
    <w:rsid w:val="005C507B"/>
    <w:rsid w:val="005C50C4"/>
    <w:rsid w:val="005C58C3"/>
    <w:rsid w:val="005C7214"/>
    <w:rsid w:val="005C74C4"/>
    <w:rsid w:val="005C789C"/>
    <w:rsid w:val="005C7E03"/>
    <w:rsid w:val="005D01D5"/>
    <w:rsid w:val="005D1485"/>
    <w:rsid w:val="005D194D"/>
    <w:rsid w:val="005D266D"/>
    <w:rsid w:val="005D2A5D"/>
    <w:rsid w:val="005D3117"/>
    <w:rsid w:val="005D45B0"/>
    <w:rsid w:val="005D78A1"/>
    <w:rsid w:val="005E15D1"/>
    <w:rsid w:val="005E3B59"/>
    <w:rsid w:val="005E60FC"/>
    <w:rsid w:val="005E6DF3"/>
    <w:rsid w:val="005E7CF1"/>
    <w:rsid w:val="005F0336"/>
    <w:rsid w:val="005F2328"/>
    <w:rsid w:val="005F2AE4"/>
    <w:rsid w:val="005F49B3"/>
    <w:rsid w:val="005F5950"/>
    <w:rsid w:val="005F5F75"/>
    <w:rsid w:val="005F68AB"/>
    <w:rsid w:val="005F6909"/>
    <w:rsid w:val="005F6ABC"/>
    <w:rsid w:val="005F792A"/>
    <w:rsid w:val="005F7D91"/>
    <w:rsid w:val="006003A9"/>
    <w:rsid w:val="006013BF"/>
    <w:rsid w:val="00601424"/>
    <w:rsid w:val="00601A08"/>
    <w:rsid w:val="00601A80"/>
    <w:rsid w:val="00601ADB"/>
    <w:rsid w:val="00605490"/>
    <w:rsid w:val="00605769"/>
    <w:rsid w:val="00606383"/>
    <w:rsid w:val="00606F4C"/>
    <w:rsid w:val="00607023"/>
    <w:rsid w:val="006070A5"/>
    <w:rsid w:val="0060714D"/>
    <w:rsid w:val="00607BBA"/>
    <w:rsid w:val="00607F60"/>
    <w:rsid w:val="00610E51"/>
    <w:rsid w:val="00610E9D"/>
    <w:rsid w:val="0061127B"/>
    <w:rsid w:val="006117CA"/>
    <w:rsid w:val="0061194A"/>
    <w:rsid w:val="00613BDA"/>
    <w:rsid w:val="00613F6C"/>
    <w:rsid w:val="006148A6"/>
    <w:rsid w:val="006157B6"/>
    <w:rsid w:val="0061684C"/>
    <w:rsid w:val="00617BD1"/>
    <w:rsid w:val="006203C1"/>
    <w:rsid w:val="00620871"/>
    <w:rsid w:val="00621791"/>
    <w:rsid w:val="00621B00"/>
    <w:rsid w:val="00621FED"/>
    <w:rsid w:val="00622761"/>
    <w:rsid w:val="00623E58"/>
    <w:rsid w:val="0062468E"/>
    <w:rsid w:val="00625AE3"/>
    <w:rsid w:val="00625B96"/>
    <w:rsid w:val="00630AA1"/>
    <w:rsid w:val="00631A88"/>
    <w:rsid w:val="00631C60"/>
    <w:rsid w:val="00631F2B"/>
    <w:rsid w:val="00632B0B"/>
    <w:rsid w:val="00632CC6"/>
    <w:rsid w:val="00634EF8"/>
    <w:rsid w:val="0063511A"/>
    <w:rsid w:val="00640797"/>
    <w:rsid w:val="00640C85"/>
    <w:rsid w:val="0064120D"/>
    <w:rsid w:val="0064129B"/>
    <w:rsid w:val="00642556"/>
    <w:rsid w:val="00642C93"/>
    <w:rsid w:val="006433C8"/>
    <w:rsid w:val="00645E22"/>
    <w:rsid w:val="0064693E"/>
    <w:rsid w:val="00647507"/>
    <w:rsid w:val="006504D1"/>
    <w:rsid w:val="00650DB6"/>
    <w:rsid w:val="0065116C"/>
    <w:rsid w:val="00652E2F"/>
    <w:rsid w:val="00653FD1"/>
    <w:rsid w:val="00654191"/>
    <w:rsid w:val="00654ADF"/>
    <w:rsid w:val="0065537E"/>
    <w:rsid w:val="00655946"/>
    <w:rsid w:val="00656B28"/>
    <w:rsid w:val="00657E4D"/>
    <w:rsid w:val="00660708"/>
    <w:rsid w:val="006611C8"/>
    <w:rsid w:val="006612DB"/>
    <w:rsid w:val="00661A10"/>
    <w:rsid w:val="00661ECE"/>
    <w:rsid w:val="00662224"/>
    <w:rsid w:val="00663384"/>
    <w:rsid w:val="00664199"/>
    <w:rsid w:val="006643EE"/>
    <w:rsid w:val="00666E67"/>
    <w:rsid w:val="0066766A"/>
    <w:rsid w:val="0066778F"/>
    <w:rsid w:val="00667BE1"/>
    <w:rsid w:val="00667EFE"/>
    <w:rsid w:val="00670B33"/>
    <w:rsid w:val="00670DD1"/>
    <w:rsid w:val="0067268B"/>
    <w:rsid w:val="00673732"/>
    <w:rsid w:val="00673E04"/>
    <w:rsid w:val="00674629"/>
    <w:rsid w:val="00674BAF"/>
    <w:rsid w:val="00674D67"/>
    <w:rsid w:val="00675203"/>
    <w:rsid w:val="006758BF"/>
    <w:rsid w:val="00677456"/>
    <w:rsid w:val="006802A6"/>
    <w:rsid w:val="0068115A"/>
    <w:rsid w:val="006813CC"/>
    <w:rsid w:val="0068243E"/>
    <w:rsid w:val="00683661"/>
    <w:rsid w:val="006868BE"/>
    <w:rsid w:val="00686A02"/>
    <w:rsid w:val="00687346"/>
    <w:rsid w:val="00690725"/>
    <w:rsid w:val="00690E7A"/>
    <w:rsid w:val="006911C0"/>
    <w:rsid w:val="006924B9"/>
    <w:rsid w:val="006934EE"/>
    <w:rsid w:val="0069361E"/>
    <w:rsid w:val="0069450B"/>
    <w:rsid w:val="006948F7"/>
    <w:rsid w:val="00694CE5"/>
    <w:rsid w:val="00694DDE"/>
    <w:rsid w:val="00695F8B"/>
    <w:rsid w:val="00696235"/>
    <w:rsid w:val="00696B8E"/>
    <w:rsid w:val="00696EB5"/>
    <w:rsid w:val="00697742"/>
    <w:rsid w:val="00697E3A"/>
    <w:rsid w:val="006A0203"/>
    <w:rsid w:val="006A527F"/>
    <w:rsid w:val="006A58D0"/>
    <w:rsid w:val="006A5DCA"/>
    <w:rsid w:val="006B026F"/>
    <w:rsid w:val="006B02E4"/>
    <w:rsid w:val="006B038A"/>
    <w:rsid w:val="006B0ACF"/>
    <w:rsid w:val="006B1381"/>
    <w:rsid w:val="006B18DE"/>
    <w:rsid w:val="006B2A0F"/>
    <w:rsid w:val="006B32BC"/>
    <w:rsid w:val="006B3599"/>
    <w:rsid w:val="006B6595"/>
    <w:rsid w:val="006B717C"/>
    <w:rsid w:val="006B7719"/>
    <w:rsid w:val="006B7956"/>
    <w:rsid w:val="006B799A"/>
    <w:rsid w:val="006B7A49"/>
    <w:rsid w:val="006C31C0"/>
    <w:rsid w:val="006C3D8A"/>
    <w:rsid w:val="006C459B"/>
    <w:rsid w:val="006C45A2"/>
    <w:rsid w:val="006C5899"/>
    <w:rsid w:val="006C6C70"/>
    <w:rsid w:val="006C7BA9"/>
    <w:rsid w:val="006C7CE3"/>
    <w:rsid w:val="006D01A4"/>
    <w:rsid w:val="006D18C2"/>
    <w:rsid w:val="006D2D1B"/>
    <w:rsid w:val="006D44AB"/>
    <w:rsid w:val="006D55EF"/>
    <w:rsid w:val="006D6C38"/>
    <w:rsid w:val="006D6CC3"/>
    <w:rsid w:val="006D71E0"/>
    <w:rsid w:val="006E06C0"/>
    <w:rsid w:val="006E0B08"/>
    <w:rsid w:val="006E49BA"/>
    <w:rsid w:val="006F00A4"/>
    <w:rsid w:val="006F0296"/>
    <w:rsid w:val="006F047C"/>
    <w:rsid w:val="006F0895"/>
    <w:rsid w:val="006F0A65"/>
    <w:rsid w:val="006F1317"/>
    <w:rsid w:val="006F221C"/>
    <w:rsid w:val="006F2921"/>
    <w:rsid w:val="006F2A31"/>
    <w:rsid w:val="006F72F8"/>
    <w:rsid w:val="0070182E"/>
    <w:rsid w:val="00701871"/>
    <w:rsid w:val="007020BD"/>
    <w:rsid w:val="0070275D"/>
    <w:rsid w:val="00702C67"/>
    <w:rsid w:val="00704556"/>
    <w:rsid w:val="00705709"/>
    <w:rsid w:val="00705D36"/>
    <w:rsid w:val="00706D65"/>
    <w:rsid w:val="00706F69"/>
    <w:rsid w:val="00707D4E"/>
    <w:rsid w:val="00707E5B"/>
    <w:rsid w:val="007100F1"/>
    <w:rsid w:val="007100F9"/>
    <w:rsid w:val="00710EC0"/>
    <w:rsid w:val="0071162A"/>
    <w:rsid w:val="00712110"/>
    <w:rsid w:val="00714397"/>
    <w:rsid w:val="007166DB"/>
    <w:rsid w:val="00716C75"/>
    <w:rsid w:val="00717071"/>
    <w:rsid w:val="00717211"/>
    <w:rsid w:val="007206B1"/>
    <w:rsid w:val="00724272"/>
    <w:rsid w:val="0072589C"/>
    <w:rsid w:val="00725A2F"/>
    <w:rsid w:val="0073021C"/>
    <w:rsid w:val="007306FE"/>
    <w:rsid w:val="007313C5"/>
    <w:rsid w:val="00732793"/>
    <w:rsid w:val="00732DB7"/>
    <w:rsid w:val="00734107"/>
    <w:rsid w:val="0073429C"/>
    <w:rsid w:val="00735F32"/>
    <w:rsid w:val="0073681F"/>
    <w:rsid w:val="00736F5B"/>
    <w:rsid w:val="00737915"/>
    <w:rsid w:val="0074006E"/>
    <w:rsid w:val="007404C5"/>
    <w:rsid w:val="0074482C"/>
    <w:rsid w:val="00744E2F"/>
    <w:rsid w:val="0074570A"/>
    <w:rsid w:val="0074698E"/>
    <w:rsid w:val="00746AA3"/>
    <w:rsid w:val="007472EA"/>
    <w:rsid w:val="007504AA"/>
    <w:rsid w:val="007507F2"/>
    <w:rsid w:val="0075160F"/>
    <w:rsid w:val="00755254"/>
    <w:rsid w:val="0075562C"/>
    <w:rsid w:val="00755DB8"/>
    <w:rsid w:val="0076090E"/>
    <w:rsid w:val="00761DC0"/>
    <w:rsid w:val="007620BD"/>
    <w:rsid w:val="00762563"/>
    <w:rsid w:val="0076360C"/>
    <w:rsid w:val="00763D8C"/>
    <w:rsid w:val="00764AF6"/>
    <w:rsid w:val="00764E36"/>
    <w:rsid w:val="00764E58"/>
    <w:rsid w:val="00765289"/>
    <w:rsid w:val="00765B57"/>
    <w:rsid w:val="0076638A"/>
    <w:rsid w:val="0076727F"/>
    <w:rsid w:val="00767BE8"/>
    <w:rsid w:val="007715CC"/>
    <w:rsid w:val="007733FD"/>
    <w:rsid w:val="00773D0D"/>
    <w:rsid w:val="007753C4"/>
    <w:rsid w:val="00775818"/>
    <w:rsid w:val="00776BA2"/>
    <w:rsid w:val="00776DB4"/>
    <w:rsid w:val="00777950"/>
    <w:rsid w:val="00777E39"/>
    <w:rsid w:val="00780041"/>
    <w:rsid w:val="00780DDD"/>
    <w:rsid w:val="007813AD"/>
    <w:rsid w:val="00781859"/>
    <w:rsid w:val="007822CB"/>
    <w:rsid w:val="007833B6"/>
    <w:rsid w:val="0078383E"/>
    <w:rsid w:val="0078452C"/>
    <w:rsid w:val="00784A1B"/>
    <w:rsid w:val="00784A29"/>
    <w:rsid w:val="007862B2"/>
    <w:rsid w:val="00786857"/>
    <w:rsid w:val="007873DE"/>
    <w:rsid w:val="007904C1"/>
    <w:rsid w:val="0079253B"/>
    <w:rsid w:val="007937EB"/>
    <w:rsid w:val="007973A9"/>
    <w:rsid w:val="00797C7A"/>
    <w:rsid w:val="00797EAD"/>
    <w:rsid w:val="007A015A"/>
    <w:rsid w:val="007A05DA"/>
    <w:rsid w:val="007A1609"/>
    <w:rsid w:val="007A1904"/>
    <w:rsid w:val="007A1B36"/>
    <w:rsid w:val="007A2660"/>
    <w:rsid w:val="007A4288"/>
    <w:rsid w:val="007A4610"/>
    <w:rsid w:val="007A528A"/>
    <w:rsid w:val="007A7EB0"/>
    <w:rsid w:val="007B14C5"/>
    <w:rsid w:val="007B23C9"/>
    <w:rsid w:val="007B33A0"/>
    <w:rsid w:val="007B3589"/>
    <w:rsid w:val="007B477B"/>
    <w:rsid w:val="007B70A5"/>
    <w:rsid w:val="007B786D"/>
    <w:rsid w:val="007C033E"/>
    <w:rsid w:val="007C1772"/>
    <w:rsid w:val="007C191C"/>
    <w:rsid w:val="007C227C"/>
    <w:rsid w:val="007C259A"/>
    <w:rsid w:val="007C26B7"/>
    <w:rsid w:val="007C347D"/>
    <w:rsid w:val="007C3A77"/>
    <w:rsid w:val="007C4364"/>
    <w:rsid w:val="007C71B3"/>
    <w:rsid w:val="007D0A95"/>
    <w:rsid w:val="007D2E5E"/>
    <w:rsid w:val="007D3D36"/>
    <w:rsid w:val="007D5A8B"/>
    <w:rsid w:val="007D68D4"/>
    <w:rsid w:val="007D6C69"/>
    <w:rsid w:val="007D78AB"/>
    <w:rsid w:val="007D7DAA"/>
    <w:rsid w:val="007E01D7"/>
    <w:rsid w:val="007E0529"/>
    <w:rsid w:val="007E0C7D"/>
    <w:rsid w:val="007E1AA1"/>
    <w:rsid w:val="007E27C4"/>
    <w:rsid w:val="007E2A44"/>
    <w:rsid w:val="007E2BD3"/>
    <w:rsid w:val="007E35E0"/>
    <w:rsid w:val="007E4774"/>
    <w:rsid w:val="007E4824"/>
    <w:rsid w:val="007E4CCC"/>
    <w:rsid w:val="007E50A8"/>
    <w:rsid w:val="007E61D7"/>
    <w:rsid w:val="007E6FA7"/>
    <w:rsid w:val="007E74CB"/>
    <w:rsid w:val="007F0260"/>
    <w:rsid w:val="007F3C84"/>
    <w:rsid w:val="007F4951"/>
    <w:rsid w:val="007F5722"/>
    <w:rsid w:val="007F57DD"/>
    <w:rsid w:val="007F7693"/>
    <w:rsid w:val="007F7AA0"/>
    <w:rsid w:val="008002CA"/>
    <w:rsid w:val="00800566"/>
    <w:rsid w:val="0080097E"/>
    <w:rsid w:val="008012B3"/>
    <w:rsid w:val="008029D1"/>
    <w:rsid w:val="00803D0A"/>
    <w:rsid w:val="00803F61"/>
    <w:rsid w:val="00810831"/>
    <w:rsid w:val="00810E92"/>
    <w:rsid w:val="00812E47"/>
    <w:rsid w:val="008139EC"/>
    <w:rsid w:val="00814B67"/>
    <w:rsid w:val="0081693F"/>
    <w:rsid w:val="008218BE"/>
    <w:rsid w:val="0082305F"/>
    <w:rsid w:val="00823077"/>
    <w:rsid w:val="00823127"/>
    <w:rsid w:val="008237EB"/>
    <w:rsid w:val="00823C62"/>
    <w:rsid w:val="008246D4"/>
    <w:rsid w:val="00825469"/>
    <w:rsid w:val="00831389"/>
    <w:rsid w:val="008323D7"/>
    <w:rsid w:val="00832423"/>
    <w:rsid w:val="00832FE2"/>
    <w:rsid w:val="008353F2"/>
    <w:rsid w:val="0083582E"/>
    <w:rsid w:val="00836D06"/>
    <w:rsid w:val="008371E3"/>
    <w:rsid w:val="00837DE2"/>
    <w:rsid w:val="00840D2F"/>
    <w:rsid w:val="00841824"/>
    <w:rsid w:val="00841A00"/>
    <w:rsid w:val="00842B20"/>
    <w:rsid w:val="00843388"/>
    <w:rsid w:val="00844344"/>
    <w:rsid w:val="008444CD"/>
    <w:rsid w:val="008466B9"/>
    <w:rsid w:val="00846717"/>
    <w:rsid w:val="00850D14"/>
    <w:rsid w:val="00850F8B"/>
    <w:rsid w:val="00851A62"/>
    <w:rsid w:val="0085245C"/>
    <w:rsid w:val="008529CB"/>
    <w:rsid w:val="00852DED"/>
    <w:rsid w:val="008552F5"/>
    <w:rsid w:val="0085651F"/>
    <w:rsid w:val="008565B1"/>
    <w:rsid w:val="00856656"/>
    <w:rsid w:val="00856889"/>
    <w:rsid w:val="008569FA"/>
    <w:rsid w:val="00857080"/>
    <w:rsid w:val="008574F5"/>
    <w:rsid w:val="00857E06"/>
    <w:rsid w:val="00862C60"/>
    <w:rsid w:val="00864A39"/>
    <w:rsid w:val="00866391"/>
    <w:rsid w:val="00867E31"/>
    <w:rsid w:val="0087314E"/>
    <w:rsid w:val="00873AA6"/>
    <w:rsid w:val="00873D71"/>
    <w:rsid w:val="0087443E"/>
    <w:rsid w:val="0087587F"/>
    <w:rsid w:val="00877A5F"/>
    <w:rsid w:val="008819A9"/>
    <w:rsid w:val="00881E75"/>
    <w:rsid w:val="00882A0B"/>
    <w:rsid w:val="00882E8B"/>
    <w:rsid w:val="00884413"/>
    <w:rsid w:val="00885C48"/>
    <w:rsid w:val="00890321"/>
    <w:rsid w:val="008907D7"/>
    <w:rsid w:val="0089080C"/>
    <w:rsid w:val="00890F82"/>
    <w:rsid w:val="008924B7"/>
    <w:rsid w:val="00893838"/>
    <w:rsid w:val="00893F10"/>
    <w:rsid w:val="00896003"/>
    <w:rsid w:val="0089661A"/>
    <w:rsid w:val="008970E0"/>
    <w:rsid w:val="008A064F"/>
    <w:rsid w:val="008A1414"/>
    <w:rsid w:val="008A1F72"/>
    <w:rsid w:val="008A269C"/>
    <w:rsid w:val="008A5920"/>
    <w:rsid w:val="008A70A0"/>
    <w:rsid w:val="008B00C4"/>
    <w:rsid w:val="008B4A2B"/>
    <w:rsid w:val="008B6E95"/>
    <w:rsid w:val="008B7837"/>
    <w:rsid w:val="008B7E55"/>
    <w:rsid w:val="008B7F39"/>
    <w:rsid w:val="008C0202"/>
    <w:rsid w:val="008C028A"/>
    <w:rsid w:val="008C08A7"/>
    <w:rsid w:val="008C1DEF"/>
    <w:rsid w:val="008C2695"/>
    <w:rsid w:val="008C26E8"/>
    <w:rsid w:val="008C48BD"/>
    <w:rsid w:val="008C4A22"/>
    <w:rsid w:val="008C5D07"/>
    <w:rsid w:val="008C704E"/>
    <w:rsid w:val="008C7758"/>
    <w:rsid w:val="008D1AA8"/>
    <w:rsid w:val="008D1E6D"/>
    <w:rsid w:val="008D2061"/>
    <w:rsid w:val="008D220C"/>
    <w:rsid w:val="008D23B0"/>
    <w:rsid w:val="008D283C"/>
    <w:rsid w:val="008D3397"/>
    <w:rsid w:val="008D4082"/>
    <w:rsid w:val="008D48CD"/>
    <w:rsid w:val="008D4B38"/>
    <w:rsid w:val="008D70AF"/>
    <w:rsid w:val="008D7333"/>
    <w:rsid w:val="008D7E91"/>
    <w:rsid w:val="008E0358"/>
    <w:rsid w:val="008E112E"/>
    <w:rsid w:val="008E1944"/>
    <w:rsid w:val="008E2BE0"/>
    <w:rsid w:val="008E2BF5"/>
    <w:rsid w:val="008E34CD"/>
    <w:rsid w:val="008E374F"/>
    <w:rsid w:val="008E4AEB"/>
    <w:rsid w:val="008E4BE0"/>
    <w:rsid w:val="008E557E"/>
    <w:rsid w:val="008E5EEE"/>
    <w:rsid w:val="008E7578"/>
    <w:rsid w:val="008F0865"/>
    <w:rsid w:val="008F24FF"/>
    <w:rsid w:val="008F4912"/>
    <w:rsid w:val="008F4A0B"/>
    <w:rsid w:val="008F63DB"/>
    <w:rsid w:val="008F65D2"/>
    <w:rsid w:val="008F69C7"/>
    <w:rsid w:val="00900459"/>
    <w:rsid w:val="00901E16"/>
    <w:rsid w:val="00902649"/>
    <w:rsid w:val="00904768"/>
    <w:rsid w:val="00906453"/>
    <w:rsid w:val="009070FD"/>
    <w:rsid w:val="00912788"/>
    <w:rsid w:val="00913C02"/>
    <w:rsid w:val="00914211"/>
    <w:rsid w:val="009142A7"/>
    <w:rsid w:val="00917DB8"/>
    <w:rsid w:val="00920BE6"/>
    <w:rsid w:val="00920DF4"/>
    <w:rsid w:val="009226CD"/>
    <w:rsid w:val="009232E7"/>
    <w:rsid w:val="00923820"/>
    <w:rsid w:val="0092441F"/>
    <w:rsid w:val="0092444F"/>
    <w:rsid w:val="009258F8"/>
    <w:rsid w:val="00926B18"/>
    <w:rsid w:val="00926E9C"/>
    <w:rsid w:val="009270B7"/>
    <w:rsid w:val="009273AC"/>
    <w:rsid w:val="009275F7"/>
    <w:rsid w:val="00934FF1"/>
    <w:rsid w:val="00936754"/>
    <w:rsid w:val="00936ACB"/>
    <w:rsid w:val="009371ED"/>
    <w:rsid w:val="00940196"/>
    <w:rsid w:val="00940272"/>
    <w:rsid w:val="009408F1"/>
    <w:rsid w:val="00942B5F"/>
    <w:rsid w:val="00943DDC"/>
    <w:rsid w:val="00944609"/>
    <w:rsid w:val="00945BB1"/>
    <w:rsid w:val="00946605"/>
    <w:rsid w:val="0094690D"/>
    <w:rsid w:val="00950CE9"/>
    <w:rsid w:val="00951686"/>
    <w:rsid w:val="00951EB8"/>
    <w:rsid w:val="00951F77"/>
    <w:rsid w:val="00953B38"/>
    <w:rsid w:val="009555E7"/>
    <w:rsid w:val="00955E1F"/>
    <w:rsid w:val="00956944"/>
    <w:rsid w:val="009579B1"/>
    <w:rsid w:val="009608C8"/>
    <w:rsid w:val="0096125A"/>
    <w:rsid w:val="00961B2C"/>
    <w:rsid w:val="00962DB9"/>
    <w:rsid w:val="00963EDF"/>
    <w:rsid w:val="0096412D"/>
    <w:rsid w:val="009644D0"/>
    <w:rsid w:val="00964768"/>
    <w:rsid w:val="00964C86"/>
    <w:rsid w:val="00966939"/>
    <w:rsid w:val="0096799B"/>
    <w:rsid w:val="00967C42"/>
    <w:rsid w:val="00972A40"/>
    <w:rsid w:val="00973014"/>
    <w:rsid w:val="00973CD3"/>
    <w:rsid w:val="00973EE9"/>
    <w:rsid w:val="00974283"/>
    <w:rsid w:val="00974513"/>
    <w:rsid w:val="00976AD7"/>
    <w:rsid w:val="0098188E"/>
    <w:rsid w:val="00982D44"/>
    <w:rsid w:val="00983D90"/>
    <w:rsid w:val="0098490F"/>
    <w:rsid w:val="009861BA"/>
    <w:rsid w:val="00986B1D"/>
    <w:rsid w:val="00986D69"/>
    <w:rsid w:val="00987560"/>
    <w:rsid w:val="0099043C"/>
    <w:rsid w:val="00990758"/>
    <w:rsid w:val="00992279"/>
    <w:rsid w:val="009945A3"/>
    <w:rsid w:val="00996C6F"/>
    <w:rsid w:val="00997666"/>
    <w:rsid w:val="00997AAC"/>
    <w:rsid w:val="009A07AA"/>
    <w:rsid w:val="009A159A"/>
    <w:rsid w:val="009A1F96"/>
    <w:rsid w:val="009A27A0"/>
    <w:rsid w:val="009A5218"/>
    <w:rsid w:val="009A794A"/>
    <w:rsid w:val="009B056C"/>
    <w:rsid w:val="009B2093"/>
    <w:rsid w:val="009B25CC"/>
    <w:rsid w:val="009B53B3"/>
    <w:rsid w:val="009B6562"/>
    <w:rsid w:val="009B747C"/>
    <w:rsid w:val="009B7504"/>
    <w:rsid w:val="009B7F1D"/>
    <w:rsid w:val="009C0CBD"/>
    <w:rsid w:val="009C15B8"/>
    <w:rsid w:val="009C1788"/>
    <w:rsid w:val="009C18D4"/>
    <w:rsid w:val="009C1F2C"/>
    <w:rsid w:val="009C34F5"/>
    <w:rsid w:val="009C38B1"/>
    <w:rsid w:val="009C504A"/>
    <w:rsid w:val="009C5735"/>
    <w:rsid w:val="009C65B2"/>
    <w:rsid w:val="009C7205"/>
    <w:rsid w:val="009D1C21"/>
    <w:rsid w:val="009D601C"/>
    <w:rsid w:val="009D6988"/>
    <w:rsid w:val="009D736B"/>
    <w:rsid w:val="009E007E"/>
    <w:rsid w:val="009E12F0"/>
    <w:rsid w:val="009E1D57"/>
    <w:rsid w:val="009E36D1"/>
    <w:rsid w:val="009E3E68"/>
    <w:rsid w:val="009E4606"/>
    <w:rsid w:val="009E4FF6"/>
    <w:rsid w:val="009E56C8"/>
    <w:rsid w:val="009E5EA0"/>
    <w:rsid w:val="009E71E3"/>
    <w:rsid w:val="009E7BF6"/>
    <w:rsid w:val="009F07F7"/>
    <w:rsid w:val="009F0E81"/>
    <w:rsid w:val="009F103D"/>
    <w:rsid w:val="009F16B1"/>
    <w:rsid w:val="009F69E8"/>
    <w:rsid w:val="009F6D1D"/>
    <w:rsid w:val="009F7B76"/>
    <w:rsid w:val="00A02B25"/>
    <w:rsid w:val="00A02F01"/>
    <w:rsid w:val="00A0469A"/>
    <w:rsid w:val="00A04E0C"/>
    <w:rsid w:val="00A05195"/>
    <w:rsid w:val="00A06E1B"/>
    <w:rsid w:val="00A0747C"/>
    <w:rsid w:val="00A0774B"/>
    <w:rsid w:val="00A10D50"/>
    <w:rsid w:val="00A111F2"/>
    <w:rsid w:val="00A11523"/>
    <w:rsid w:val="00A11844"/>
    <w:rsid w:val="00A118C4"/>
    <w:rsid w:val="00A11E62"/>
    <w:rsid w:val="00A120ED"/>
    <w:rsid w:val="00A13330"/>
    <w:rsid w:val="00A14268"/>
    <w:rsid w:val="00A14535"/>
    <w:rsid w:val="00A154F1"/>
    <w:rsid w:val="00A1738A"/>
    <w:rsid w:val="00A17C03"/>
    <w:rsid w:val="00A17CEB"/>
    <w:rsid w:val="00A17DB0"/>
    <w:rsid w:val="00A20CF5"/>
    <w:rsid w:val="00A21BF5"/>
    <w:rsid w:val="00A22EB1"/>
    <w:rsid w:val="00A236A1"/>
    <w:rsid w:val="00A23BCB"/>
    <w:rsid w:val="00A254E5"/>
    <w:rsid w:val="00A26033"/>
    <w:rsid w:val="00A2728D"/>
    <w:rsid w:val="00A306AD"/>
    <w:rsid w:val="00A30A57"/>
    <w:rsid w:val="00A32359"/>
    <w:rsid w:val="00A3282F"/>
    <w:rsid w:val="00A345E8"/>
    <w:rsid w:val="00A35210"/>
    <w:rsid w:val="00A40E0F"/>
    <w:rsid w:val="00A4115F"/>
    <w:rsid w:val="00A419CE"/>
    <w:rsid w:val="00A42823"/>
    <w:rsid w:val="00A4309D"/>
    <w:rsid w:val="00A438A3"/>
    <w:rsid w:val="00A44298"/>
    <w:rsid w:val="00A44310"/>
    <w:rsid w:val="00A46613"/>
    <w:rsid w:val="00A46FCD"/>
    <w:rsid w:val="00A4789F"/>
    <w:rsid w:val="00A47961"/>
    <w:rsid w:val="00A51611"/>
    <w:rsid w:val="00A53A1C"/>
    <w:rsid w:val="00A53BD6"/>
    <w:rsid w:val="00A54ADC"/>
    <w:rsid w:val="00A54CDE"/>
    <w:rsid w:val="00A54F61"/>
    <w:rsid w:val="00A550CD"/>
    <w:rsid w:val="00A60DD1"/>
    <w:rsid w:val="00A6206B"/>
    <w:rsid w:val="00A630FA"/>
    <w:rsid w:val="00A6424E"/>
    <w:rsid w:val="00A704A6"/>
    <w:rsid w:val="00A7101B"/>
    <w:rsid w:val="00A719F7"/>
    <w:rsid w:val="00A72299"/>
    <w:rsid w:val="00A72F1A"/>
    <w:rsid w:val="00A744E0"/>
    <w:rsid w:val="00A75662"/>
    <w:rsid w:val="00A762F2"/>
    <w:rsid w:val="00A76C95"/>
    <w:rsid w:val="00A770D9"/>
    <w:rsid w:val="00A77141"/>
    <w:rsid w:val="00A77787"/>
    <w:rsid w:val="00A80479"/>
    <w:rsid w:val="00A82B01"/>
    <w:rsid w:val="00A838EA"/>
    <w:rsid w:val="00A83B7F"/>
    <w:rsid w:val="00A86ABD"/>
    <w:rsid w:val="00A86FD9"/>
    <w:rsid w:val="00A87833"/>
    <w:rsid w:val="00A907A6"/>
    <w:rsid w:val="00A90AB2"/>
    <w:rsid w:val="00A915C3"/>
    <w:rsid w:val="00A920A6"/>
    <w:rsid w:val="00A921A5"/>
    <w:rsid w:val="00A92B4B"/>
    <w:rsid w:val="00A94F1E"/>
    <w:rsid w:val="00AA0C01"/>
    <w:rsid w:val="00AA34A0"/>
    <w:rsid w:val="00AA39C0"/>
    <w:rsid w:val="00AA4BDB"/>
    <w:rsid w:val="00AA5194"/>
    <w:rsid w:val="00AA5AD4"/>
    <w:rsid w:val="00AA7B2C"/>
    <w:rsid w:val="00AB0461"/>
    <w:rsid w:val="00AB126D"/>
    <w:rsid w:val="00AB2C20"/>
    <w:rsid w:val="00AB2FA5"/>
    <w:rsid w:val="00AB3C31"/>
    <w:rsid w:val="00AB473D"/>
    <w:rsid w:val="00AB4B74"/>
    <w:rsid w:val="00AB5F8B"/>
    <w:rsid w:val="00AB620B"/>
    <w:rsid w:val="00AC0681"/>
    <w:rsid w:val="00AC1A53"/>
    <w:rsid w:val="00AC227A"/>
    <w:rsid w:val="00AC29CD"/>
    <w:rsid w:val="00AC2DE9"/>
    <w:rsid w:val="00AC4FF7"/>
    <w:rsid w:val="00AC59D5"/>
    <w:rsid w:val="00AC699A"/>
    <w:rsid w:val="00AC7FB3"/>
    <w:rsid w:val="00AD0B5C"/>
    <w:rsid w:val="00AD27E5"/>
    <w:rsid w:val="00AD34CF"/>
    <w:rsid w:val="00AD3BA9"/>
    <w:rsid w:val="00AD4F72"/>
    <w:rsid w:val="00AD521C"/>
    <w:rsid w:val="00AD59ED"/>
    <w:rsid w:val="00AD6747"/>
    <w:rsid w:val="00AD69FE"/>
    <w:rsid w:val="00AD72C3"/>
    <w:rsid w:val="00AE0267"/>
    <w:rsid w:val="00AE3104"/>
    <w:rsid w:val="00AE3160"/>
    <w:rsid w:val="00AE4622"/>
    <w:rsid w:val="00AE49A2"/>
    <w:rsid w:val="00AE4EEA"/>
    <w:rsid w:val="00AE57D9"/>
    <w:rsid w:val="00AE5A97"/>
    <w:rsid w:val="00AE69CB"/>
    <w:rsid w:val="00AE71CE"/>
    <w:rsid w:val="00AE78C5"/>
    <w:rsid w:val="00AF01DE"/>
    <w:rsid w:val="00AF23A0"/>
    <w:rsid w:val="00AF30C8"/>
    <w:rsid w:val="00AF36E6"/>
    <w:rsid w:val="00AF4584"/>
    <w:rsid w:val="00AF765D"/>
    <w:rsid w:val="00B01116"/>
    <w:rsid w:val="00B01AC6"/>
    <w:rsid w:val="00B02FF8"/>
    <w:rsid w:val="00B041EC"/>
    <w:rsid w:val="00B049D6"/>
    <w:rsid w:val="00B05900"/>
    <w:rsid w:val="00B05DC6"/>
    <w:rsid w:val="00B06E6A"/>
    <w:rsid w:val="00B078FE"/>
    <w:rsid w:val="00B07A3C"/>
    <w:rsid w:val="00B10590"/>
    <w:rsid w:val="00B1071D"/>
    <w:rsid w:val="00B141BF"/>
    <w:rsid w:val="00B1573A"/>
    <w:rsid w:val="00B15845"/>
    <w:rsid w:val="00B16D5F"/>
    <w:rsid w:val="00B17880"/>
    <w:rsid w:val="00B22779"/>
    <w:rsid w:val="00B232D5"/>
    <w:rsid w:val="00B244C7"/>
    <w:rsid w:val="00B2490D"/>
    <w:rsid w:val="00B25082"/>
    <w:rsid w:val="00B25764"/>
    <w:rsid w:val="00B27598"/>
    <w:rsid w:val="00B27D0E"/>
    <w:rsid w:val="00B315F7"/>
    <w:rsid w:val="00B327E9"/>
    <w:rsid w:val="00B32D0F"/>
    <w:rsid w:val="00B33B0E"/>
    <w:rsid w:val="00B3425A"/>
    <w:rsid w:val="00B37CBB"/>
    <w:rsid w:val="00B37F1A"/>
    <w:rsid w:val="00B40CC5"/>
    <w:rsid w:val="00B41C15"/>
    <w:rsid w:val="00B421DC"/>
    <w:rsid w:val="00B42667"/>
    <w:rsid w:val="00B46C1E"/>
    <w:rsid w:val="00B46C2C"/>
    <w:rsid w:val="00B47365"/>
    <w:rsid w:val="00B475BA"/>
    <w:rsid w:val="00B47756"/>
    <w:rsid w:val="00B52FB1"/>
    <w:rsid w:val="00B53B47"/>
    <w:rsid w:val="00B54478"/>
    <w:rsid w:val="00B549FB"/>
    <w:rsid w:val="00B561C1"/>
    <w:rsid w:val="00B563AB"/>
    <w:rsid w:val="00B56C02"/>
    <w:rsid w:val="00B6133D"/>
    <w:rsid w:val="00B65126"/>
    <w:rsid w:val="00B65B41"/>
    <w:rsid w:val="00B67030"/>
    <w:rsid w:val="00B67B39"/>
    <w:rsid w:val="00B70203"/>
    <w:rsid w:val="00B70F38"/>
    <w:rsid w:val="00B71AD2"/>
    <w:rsid w:val="00B71D9A"/>
    <w:rsid w:val="00B721A3"/>
    <w:rsid w:val="00B72DBD"/>
    <w:rsid w:val="00B72E45"/>
    <w:rsid w:val="00B73798"/>
    <w:rsid w:val="00B73880"/>
    <w:rsid w:val="00B73B0C"/>
    <w:rsid w:val="00B73BB1"/>
    <w:rsid w:val="00B73F97"/>
    <w:rsid w:val="00B73FBF"/>
    <w:rsid w:val="00B74B17"/>
    <w:rsid w:val="00B75007"/>
    <w:rsid w:val="00B7567E"/>
    <w:rsid w:val="00B76BE1"/>
    <w:rsid w:val="00B76D83"/>
    <w:rsid w:val="00B775D6"/>
    <w:rsid w:val="00B77E08"/>
    <w:rsid w:val="00B8032E"/>
    <w:rsid w:val="00B8120F"/>
    <w:rsid w:val="00B82FB8"/>
    <w:rsid w:val="00B832CB"/>
    <w:rsid w:val="00B83F22"/>
    <w:rsid w:val="00B847CF"/>
    <w:rsid w:val="00B8571F"/>
    <w:rsid w:val="00B86F09"/>
    <w:rsid w:val="00B8748E"/>
    <w:rsid w:val="00B876D7"/>
    <w:rsid w:val="00B9019C"/>
    <w:rsid w:val="00B9075A"/>
    <w:rsid w:val="00B9150C"/>
    <w:rsid w:val="00B91635"/>
    <w:rsid w:val="00B9205A"/>
    <w:rsid w:val="00B92494"/>
    <w:rsid w:val="00B929FB"/>
    <w:rsid w:val="00B931D3"/>
    <w:rsid w:val="00B93551"/>
    <w:rsid w:val="00B93AF3"/>
    <w:rsid w:val="00B95728"/>
    <w:rsid w:val="00B95797"/>
    <w:rsid w:val="00B96519"/>
    <w:rsid w:val="00B972B6"/>
    <w:rsid w:val="00BA0675"/>
    <w:rsid w:val="00BA0CEC"/>
    <w:rsid w:val="00BA1A8A"/>
    <w:rsid w:val="00BA39C2"/>
    <w:rsid w:val="00BA6BD6"/>
    <w:rsid w:val="00BB0D7F"/>
    <w:rsid w:val="00BB193D"/>
    <w:rsid w:val="00BB1948"/>
    <w:rsid w:val="00BB1D6C"/>
    <w:rsid w:val="00BB3885"/>
    <w:rsid w:val="00BB39EF"/>
    <w:rsid w:val="00BB4178"/>
    <w:rsid w:val="00BB4913"/>
    <w:rsid w:val="00BB5787"/>
    <w:rsid w:val="00BB6ADA"/>
    <w:rsid w:val="00BB70A8"/>
    <w:rsid w:val="00BB7C54"/>
    <w:rsid w:val="00BC0422"/>
    <w:rsid w:val="00BC0556"/>
    <w:rsid w:val="00BC2275"/>
    <w:rsid w:val="00BC2989"/>
    <w:rsid w:val="00BC3923"/>
    <w:rsid w:val="00BC3CD6"/>
    <w:rsid w:val="00BC43BD"/>
    <w:rsid w:val="00BC56ED"/>
    <w:rsid w:val="00BD00BF"/>
    <w:rsid w:val="00BD04C5"/>
    <w:rsid w:val="00BD0859"/>
    <w:rsid w:val="00BD0ADB"/>
    <w:rsid w:val="00BD11E3"/>
    <w:rsid w:val="00BD1AD4"/>
    <w:rsid w:val="00BD2BD1"/>
    <w:rsid w:val="00BD31B7"/>
    <w:rsid w:val="00BD37E2"/>
    <w:rsid w:val="00BD52C0"/>
    <w:rsid w:val="00BD599A"/>
    <w:rsid w:val="00BD7822"/>
    <w:rsid w:val="00BE0093"/>
    <w:rsid w:val="00BE01B8"/>
    <w:rsid w:val="00BE095E"/>
    <w:rsid w:val="00BE165B"/>
    <w:rsid w:val="00BE178B"/>
    <w:rsid w:val="00BE17E7"/>
    <w:rsid w:val="00BE2344"/>
    <w:rsid w:val="00BE27BA"/>
    <w:rsid w:val="00BE2CF2"/>
    <w:rsid w:val="00BE350C"/>
    <w:rsid w:val="00BE49CF"/>
    <w:rsid w:val="00BE4BEE"/>
    <w:rsid w:val="00BE6F06"/>
    <w:rsid w:val="00BE75CF"/>
    <w:rsid w:val="00BE7B1C"/>
    <w:rsid w:val="00BF0541"/>
    <w:rsid w:val="00BF0CE3"/>
    <w:rsid w:val="00BF3270"/>
    <w:rsid w:val="00BF37C8"/>
    <w:rsid w:val="00BF4491"/>
    <w:rsid w:val="00BF4823"/>
    <w:rsid w:val="00BF4A73"/>
    <w:rsid w:val="00BF715E"/>
    <w:rsid w:val="00BF7914"/>
    <w:rsid w:val="00C0038E"/>
    <w:rsid w:val="00C01340"/>
    <w:rsid w:val="00C035BD"/>
    <w:rsid w:val="00C0385C"/>
    <w:rsid w:val="00C05118"/>
    <w:rsid w:val="00C05E03"/>
    <w:rsid w:val="00C05F47"/>
    <w:rsid w:val="00C05F8C"/>
    <w:rsid w:val="00C101CE"/>
    <w:rsid w:val="00C1073C"/>
    <w:rsid w:val="00C10910"/>
    <w:rsid w:val="00C10CEC"/>
    <w:rsid w:val="00C1210B"/>
    <w:rsid w:val="00C1246D"/>
    <w:rsid w:val="00C15182"/>
    <w:rsid w:val="00C15327"/>
    <w:rsid w:val="00C154F5"/>
    <w:rsid w:val="00C15C40"/>
    <w:rsid w:val="00C1772B"/>
    <w:rsid w:val="00C17822"/>
    <w:rsid w:val="00C227AD"/>
    <w:rsid w:val="00C228FA"/>
    <w:rsid w:val="00C22CAD"/>
    <w:rsid w:val="00C22FF6"/>
    <w:rsid w:val="00C23414"/>
    <w:rsid w:val="00C23EB2"/>
    <w:rsid w:val="00C244C0"/>
    <w:rsid w:val="00C24786"/>
    <w:rsid w:val="00C25292"/>
    <w:rsid w:val="00C2549B"/>
    <w:rsid w:val="00C255D0"/>
    <w:rsid w:val="00C25629"/>
    <w:rsid w:val="00C25FFF"/>
    <w:rsid w:val="00C2611B"/>
    <w:rsid w:val="00C27D84"/>
    <w:rsid w:val="00C30463"/>
    <w:rsid w:val="00C309F6"/>
    <w:rsid w:val="00C30DFE"/>
    <w:rsid w:val="00C329C8"/>
    <w:rsid w:val="00C338FD"/>
    <w:rsid w:val="00C33AA7"/>
    <w:rsid w:val="00C33DBC"/>
    <w:rsid w:val="00C34530"/>
    <w:rsid w:val="00C35110"/>
    <w:rsid w:val="00C36253"/>
    <w:rsid w:val="00C36713"/>
    <w:rsid w:val="00C36C44"/>
    <w:rsid w:val="00C376B8"/>
    <w:rsid w:val="00C403A8"/>
    <w:rsid w:val="00C4093D"/>
    <w:rsid w:val="00C41D4E"/>
    <w:rsid w:val="00C434C8"/>
    <w:rsid w:val="00C4420B"/>
    <w:rsid w:val="00C45AE1"/>
    <w:rsid w:val="00C45B81"/>
    <w:rsid w:val="00C4760E"/>
    <w:rsid w:val="00C47B8C"/>
    <w:rsid w:val="00C47C2F"/>
    <w:rsid w:val="00C47D97"/>
    <w:rsid w:val="00C50B60"/>
    <w:rsid w:val="00C5144C"/>
    <w:rsid w:val="00C51921"/>
    <w:rsid w:val="00C51D54"/>
    <w:rsid w:val="00C53AE3"/>
    <w:rsid w:val="00C54D9E"/>
    <w:rsid w:val="00C54F77"/>
    <w:rsid w:val="00C55170"/>
    <w:rsid w:val="00C5639B"/>
    <w:rsid w:val="00C567A9"/>
    <w:rsid w:val="00C57239"/>
    <w:rsid w:val="00C57B3E"/>
    <w:rsid w:val="00C60906"/>
    <w:rsid w:val="00C627D4"/>
    <w:rsid w:val="00C640C3"/>
    <w:rsid w:val="00C660AA"/>
    <w:rsid w:val="00C6644B"/>
    <w:rsid w:val="00C66FB8"/>
    <w:rsid w:val="00C67981"/>
    <w:rsid w:val="00C71CF9"/>
    <w:rsid w:val="00C7243D"/>
    <w:rsid w:val="00C7247C"/>
    <w:rsid w:val="00C7283E"/>
    <w:rsid w:val="00C73DFC"/>
    <w:rsid w:val="00C75540"/>
    <w:rsid w:val="00C75787"/>
    <w:rsid w:val="00C7647F"/>
    <w:rsid w:val="00C77CE4"/>
    <w:rsid w:val="00C80A78"/>
    <w:rsid w:val="00C81AAC"/>
    <w:rsid w:val="00C8243E"/>
    <w:rsid w:val="00C82D02"/>
    <w:rsid w:val="00C83173"/>
    <w:rsid w:val="00C858B8"/>
    <w:rsid w:val="00C85944"/>
    <w:rsid w:val="00C86564"/>
    <w:rsid w:val="00C8662C"/>
    <w:rsid w:val="00C86885"/>
    <w:rsid w:val="00C875B3"/>
    <w:rsid w:val="00C87CCB"/>
    <w:rsid w:val="00C87DDA"/>
    <w:rsid w:val="00C90127"/>
    <w:rsid w:val="00C91937"/>
    <w:rsid w:val="00C91C85"/>
    <w:rsid w:val="00C92240"/>
    <w:rsid w:val="00C92BDD"/>
    <w:rsid w:val="00C938D3"/>
    <w:rsid w:val="00C93E96"/>
    <w:rsid w:val="00C95E0B"/>
    <w:rsid w:val="00C96080"/>
    <w:rsid w:val="00C96BE4"/>
    <w:rsid w:val="00CA4608"/>
    <w:rsid w:val="00CA5F9B"/>
    <w:rsid w:val="00CA7C18"/>
    <w:rsid w:val="00CB029A"/>
    <w:rsid w:val="00CB09CE"/>
    <w:rsid w:val="00CB0F94"/>
    <w:rsid w:val="00CB194F"/>
    <w:rsid w:val="00CB2680"/>
    <w:rsid w:val="00CB2EBC"/>
    <w:rsid w:val="00CB550D"/>
    <w:rsid w:val="00CB5C3E"/>
    <w:rsid w:val="00CB7771"/>
    <w:rsid w:val="00CB7FC2"/>
    <w:rsid w:val="00CC11D2"/>
    <w:rsid w:val="00CC15DA"/>
    <w:rsid w:val="00CC24AD"/>
    <w:rsid w:val="00CC26BE"/>
    <w:rsid w:val="00CC2782"/>
    <w:rsid w:val="00CC466A"/>
    <w:rsid w:val="00CC4710"/>
    <w:rsid w:val="00CC4C64"/>
    <w:rsid w:val="00CC5350"/>
    <w:rsid w:val="00CC5559"/>
    <w:rsid w:val="00CC65E1"/>
    <w:rsid w:val="00CC685E"/>
    <w:rsid w:val="00CC6A15"/>
    <w:rsid w:val="00CD46EF"/>
    <w:rsid w:val="00CD4E70"/>
    <w:rsid w:val="00CD6A3B"/>
    <w:rsid w:val="00CD7EDC"/>
    <w:rsid w:val="00CE1BD8"/>
    <w:rsid w:val="00CE2DA4"/>
    <w:rsid w:val="00CE3122"/>
    <w:rsid w:val="00CE3202"/>
    <w:rsid w:val="00CE37CC"/>
    <w:rsid w:val="00CE41B8"/>
    <w:rsid w:val="00CE4632"/>
    <w:rsid w:val="00CE7752"/>
    <w:rsid w:val="00CF06A0"/>
    <w:rsid w:val="00CF10F6"/>
    <w:rsid w:val="00CF244E"/>
    <w:rsid w:val="00CF268E"/>
    <w:rsid w:val="00CF2E21"/>
    <w:rsid w:val="00CF37A2"/>
    <w:rsid w:val="00CF4FA0"/>
    <w:rsid w:val="00CF5F44"/>
    <w:rsid w:val="00CF69AC"/>
    <w:rsid w:val="00CF7F4B"/>
    <w:rsid w:val="00D01E88"/>
    <w:rsid w:val="00D025CF"/>
    <w:rsid w:val="00D0427E"/>
    <w:rsid w:val="00D048FE"/>
    <w:rsid w:val="00D04D9E"/>
    <w:rsid w:val="00D059FE"/>
    <w:rsid w:val="00D063DE"/>
    <w:rsid w:val="00D0649A"/>
    <w:rsid w:val="00D06D89"/>
    <w:rsid w:val="00D07295"/>
    <w:rsid w:val="00D079E1"/>
    <w:rsid w:val="00D07C38"/>
    <w:rsid w:val="00D106E0"/>
    <w:rsid w:val="00D11C93"/>
    <w:rsid w:val="00D1239A"/>
    <w:rsid w:val="00D13F9A"/>
    <w:rsid w:val="00D1490D"/>
    <w:rsid w:val="00D16BE0"/>
    <w:rsid w:val="00D17247"/>
    <w:rsid w:val="00D202B5"/>
    <w:rsid w:val="00D20F82"/>
    <w:rsid w:val="00D21D74"/>
    <w:rsid w:val="00D22D2D"/>
    <w:rsid w:val="00D23968"/>
    <w:rsid w:val="00D25B8B"/>
    <w:rsid w:val="00D25EBD"/>
    <w:rsid w:val="00D26DF6"/>
    <w:rsid w:val="00D30674"/>
    <w:rsid w:val="00D31184"/>
    <w:rsid w:val="00D3179D"/>
    <w:rsid w:val="00D31A3E"/>
    <w:rsid w:val="00D32748"/>
    <w:rsid w:val="00D33B59"/>
    <w:rsid w:val="00D341CD"/>
    <w:rsid w:val="00D36EF7"/>
    <w:rsid w:val="00D41A5F"/>
    <w:rsid w:val="00D42761"/>
    <w:rsid w:val="00D43921"/>
    <w:rsid w:val="00D43ABC"/>
    <w:rsid w:val="00D4568C"/>
    <w:rsid w:val="00D45708"/>
    <w:rsid w:val="00D53764"/>
    <w:rsid w:val="00D53AEB"/>
    <w:rsid w:val="00D53C94"/>
    <w:rsid w:val="00D55A1E"/>
    <w:rsid w:val="00D55BBF"/>
    <w:rsid w:val="00D569A7"/>
    <w:rsid w:val="00D618A4"/>
    <w:rsid w:val="00D61FAD"/>
    <w:rsid w:val="00D623D7"/>
    <w:rsid w:val="00D63B66"/>
    <w:rsid w:val="00D63F31"/>
    <w:rsid w:val="00D6451D"/>
    <w:rsid w:val="00D64B34"/>
    <w:rsid w:val="00D664D9"/>
    <w:rsid w:val="00D669A2"/>
    <w:rsid w:val="00D67FA8"/>
    <w:rsid w:val="00D702A8"/>
    <w:rsid w:val="00D71092"/>
    <w:rsid w:val="00D72033"/>
    <w:rsid w:val="00D72799"/>
    <w:rsid w:val="00D7279E"/>
    <w:rsid w:val="00D734C6"/>
    <w:rsid w:val="00D73793"/>
    <w:rsid w:val="00D7415A"/>
    <w:rsid w:val="00D74A3E"/>
    <w:rsid w:val="00D74C15"/>
    <w:rsid w:val="00D74DC9"/>
    <w:rsid w:val="00D75D68"/>
    <w:rsid w:val="00D82CD7"/>
    <w:rsid w:val="00D82F4B"/>
    <w:rsid w:val="00D84CC2"/>
    <w:rsid w:val="00D8666E"/>
    <w:rsid w:val="00D869B7"/>
    <w:rsid w:val="00D872A6"/>
    <w:rsid w:val="00D87962"/>
    <w:rsid w:val="00D90014"/>
    <w:rsid w:val="00D90728"/>
    <w:rsid w:val="00D90997"/>
    <w:rsid w:val="00D927FD"/>
    <w:rsid w:val="00D928EE"/>
    <w:rsid w:val="00D930A7"/>
    <w:rsid w:val="00D948DE"/>
    <w:rsid w:val="00D94A98"/>
    <w:rsid w:val="00D95877"/>
    <w:rsid w:val="00D95F8A"/>
    <w:rsid w:val="00D97F3F"/>
    <w:rsid w:val="00DA3E35"/>
    <w:rsid w:val="00DA40AD"/>
    <w:rsid w:val="00DA4896"/>
    <w:rsid w:val="00DA49B5"/>
    <w:rsid w:val="00DA57EE"/>
    <w:rsid w:val="00DA5BD1"/>
    <w:rsid w:val="00DA613D"/>
    <w:rsid w:val="00DA76B0"/>
    <w:rsid w:val="00DA7EFD"/>
    <w:rsid w:val="00DB1B0A"/>
    <w:rsid w:val="00DB3B61"/>
    <w:rsid w:val="00DB4D64"/>
    <w:rsid w:val="00DB4F75"/>
    <w:rsid w:val="00DB50EE"/>
    <w:rsid w:val="00DB6D6E"/>
    <w:rsid w:val="00DB7D7D"/>
    <w:rsid w:val="00DC1A8D"/>
    <w:rsid w:val="00DC2E69"/>
    <w:rsid w:val="00DC3AEA"/>
    <w:rsid w:val="00DC48AC"/>
    <w:rsid w:val="00DC525A"/>
    <w:rsid w:val="00DC539F"/>
    <w:rsid w:val="00DC7E70"/>
    <w:rsid w:val="00DD0528"/>
    <w:rsid w:val="00DD0561"/>
    <w:rsid w:val="00DD18F3"/>
    <w:rsid w:val="00DD1E55"/>
    <w:rsid w:val="00DD2482"/>
    <w:rsid w:val="00DD3CE3"/>
    <w:rsid w:val="00DD59E2"/>
    <w:rsid w:val="00DD6867"/>
    <w:rsid w:val="00DE1B0F"/>
    <w:rsid w:val="00DE23E5"/>
    <w:rsid w:val="00DE3420"/>
    <w:rsid w:val="00DE4047"/>
    <w:rsid w:val="00DE4186"/>
    <w:rsid w:val="00DE6AF4"/>
    <w:rsid w:val="00DE726D"/>
    <w:rsid w:val="00DF02AF"/>
    <w:rsid w:val="00DF05D1"/>
    <w:rsid w:val="00DF2234"/>
    <w:rsid w:val="00DF2818"/>
    <w:rsid w:val="00DF2D14"/>
    <w:rsid w:val="00DF4579"/>
    <w:rsid w:val="00DF4A2C"/>
    <w:rsid w:val="00DF5617"/>
    <w:rsid w:val="00DF64D1"/>
    <w:rsid w:val="00DF747D"/>
    <w:rsid w:val="00E000CB"/>
    <w:rsid w:val="00E005C3"/>
    <w:rsid w:val="00E00E7A"/>
    <w:rsid w:val="00E01E0A"/>
    <w:rsid w:val="00E023A3"/>
    <w:rsid w:val="00E03F32"/>
    <w:rsid w:val="00E04885"/>
    <w:rsid w:val="00E04D48"/>
    <w:rsid w:val="00E05215"/>
    <w:rsid w:val="00E0795D"/>
    <w:rsid w:val="00E11402"/>
    <w:rsid w:val="00E1189D"/>
    <w:rsid w:val="00E12576"/>
    <w:rsid w:val="00E12797"/>
    <w:rsid w:val="00E1460A"/>
    <w:rsid w:val="00E1464A"/>
    <w:rsid w:val="00E16239"/>
    <w:rsid w:val="00E1690F"/>
    <w:rsid w:val="00E16D0D"/>
    <w:rsid w:val="00E16F2C"/>
    <w:rsid w:val="00E1790D"/>
    <w:rsid w:val="00E17F74"/>
    <w:rsid w:val="00E21950"/>
    <w:rsid w:val="00E229B1"/>
    <w:rsid w:val="00E23195"/>
    <w:rsid w:val="00E23DFC"/>
    <w:rsid w:val="00E24F96"/>
    <w:rsid w:val="00E257C3"/>
    <w:rsid w:val="00E262CD"/>
    <w:rsid w:val="00E264D5"/>
    <w:rsid w:val="00E268E6"/>
    <w:rsid w:val="00E26AF6"/>
    <w:rsid w:val="00E27509"/>
    <w:rsid w:val="00E3102F"/>
    <w:rsid w:val="00E330B2"/>
    <w:rsid w:val="00E344FC"/>
    <w:rsid w:val="00E34798"/>
    <w:rsid w:val="00E35F14"/>
    <w:rsid w:val="00E4440E"/>
    <w:rsid w:val="00E453EF"/>
    <w:rsid w:val="00E45FF2"/>
    <w:rsid w:val="00E47201"/>
    <w:rsid w:val="00E5282E"/>
    <w:rsid w:val="00E528EB"/>
    <w:rsid w:val="00E52BB2"/>
    <w:rsid w:val="00E537BA"/>
    <w:rsid w:val="00E53B11"/>
    <w:rsid w:val="00E53C06"/>
    <w:rsid w:val="00E53F56"/>
    <w:rsid w:val="00E54195"/>
    <w:rsid w:val="00E55824"/>
    <w:rsid w:val="00E55BBD"/>
    <w:rsid w:val="00E56866"/>
    <w:rsid w:val="00E569D6"/>
    <w:rsid w:val="00E603CD"/>
    <w:rsid w:val="00E60E58"/>
    <w:rsid w:val="00E60EB1"/>
    <w:rsid w:val="00E61361"/>
    <w:rsid w:val="00E63DAF"/>
    <w:rsid w:val="00E650A1"/>
    <w:rsid w:val="00E65E15"/>
    <w:rsid w:val="00E66728"/>
    <w:rsid w:val="00E6723F"/>
    <w:rsid w:val="00E6750E"/>
    <w:rsid w:val="00E6761E"/>
    <w:rsid w:val="00E7178A"/>
    <w:rsid w:val="00E71CFE"/>
    <w:rsid w:val="00E72720"/>
    <w:rsid w:val="00E728C2"/>
    <w:rsid w:val="00E740DE"/>
    <w:rsid w:val="00E75AFA"/>
    <w:rsid w:val="00E75EBA"/>
    <w:rsid w:val="00E764A5"/>
    <w:rsid w:val="00E76684"/>
    <w:rsid w:val="00E778C1"/>
    <w:rsid w:val="00E77A53"/>
    <w:rsid w:val="00E8052F"/>
    <w:rsid w:val="00E80A1F"/>
    <w:rsid w:val="00E81135"/>
    <w:rsid w:val="00E82111"/>
    <w:rsid w:val="00E86041"/>
    <w:rsid w:val="00E86B2B"/>
    <w:rsid w:val="00E87780"/>
    <w:rsid w:val="00E901D4"/>
    <w:rsid w:val="00E90264"/>
    <w:rsid w:val="00E902CB"/>
    <w:rsid w:val="00E90F05"/>
    <w:rsid w:val="00E914BF"/>
    <w:rsid w:val="00E920D8"/>
    <w:rsid w:val="00E93EC3"/>
    <w:rsid w:val="00E955D4"/>
    <w:rsid w:val="00E9789F"/>
    <w:rsid w:val="00EA0512"/>
    <w:rsid w:val="00EA08EB"/>
    <w:rsid w:val="00EA0E3B"/>
    <w:rsid w:val="00EA180A"/>
    <w:rsid w:val="00EA405D"/>
    <w:rsid w:val="00EA4972"/>
    <w:rsid w:val="00EA5295"/>
    <w:rsid w:val="00EA543B"/>
    <w:rsid w:val="00EA5BDA"/>
    <w:rsid w:val="00EA6D9E"/>
    <w:rsid w:val="00EA7890"/>
    <w:rsid w:val="00EB0876"/>
    <w:rsid w:val="00EB13F5"/>
    <w:rsid w:val="00EB228A"/>
    <w:rsid w:val="00EB2367"/>
    <w:rsid w:val="00EB2775"/>
    <w:rsid w:val="00EB328B"/>
    <w:rsid w:val="00EB3E76"/>
    <w:rsid w:val="00EC0E57"/>
    <w:rsid w:val="00EC1AF5"/>
    <w:rsid w:val="00EC1F8E"/>
    <w:rsid w:val="00EC3830"/>
    <w:rsid w:val="00EC40F9"/>
    <w:rsid w:val="00EC4A00"/>
    <w:rsid w:val="00ED0C40"/>
    <w:rsid w:val="00ED1B12"/>
    <w:rsid w:val="00ED1BEB"/>
    <w:rsid w:val="00ED1F60"/>
    <w:rsid w:val="00ED41AE"/>
    <w:rsid w:val="00ED71B6"/>
    <w:rsid w:val="00ED72D0"/>
    <w:rsid w:val="00EE07C0"/>
    <w:rsid w:val="00EE0A96"/>
    <w:rsid w:val="00EE10A3"/>
    <w:rsid w:val="00EE135C"/>
    <w:rsid w:val="00EE2160"/>
    <w:rsid w:val="00EE3BEB"/>
    <w:rsid w:val="00EE3DF3"/>
    <w:rsid w:val="00EE3FFE"/>
    <w:rsid w:val="00EE46CD"/>
    <w:rsid w:val="00EE5068"/>
    <w:rsid w:val="00EE625C"/>
    <w:rsid w:val="00EE640B"/>
    <w:rsid w:val="00EE6478"/>
    <w:rsid w:val="00EE66E1"/>
    <w:rsid w:val="00EE7DC6"/>
    <w:rsid w:val="00EF07E4"/>
    <w:rsid w:val="00EF1448"/>
    <w:rsid w:val="00EF144F"/>
    <w:rsid w:val="00EF1AF7"/>
    <w:rsid w:val="00EF21C6"/>
    <w:rsid w:val="00EF24D2"/>
    <w:rsid w:val="00EF331C"/>
    <w:rsid w:val="00EF42FC"/>
    <w:rsid w:val="00EF458C"/>
    <w:rsid w:val="00EF4B38"/>
    <w:rsid w:val="00EF5182"/>
    <w:rsid w:val="00EF6351"/>
    <w:rsid w:val="00EF6F0C"/>
    <w:rsid w:val="00EF7195"/>
    <w:rsid w:val="00EF727C"/>
    <w:rsid w:val="00F00B04"/>
    <w:rsid w:val="00F0219F"/>
    <w:rsid w:val="00F02444"/>
    <w:rsid w:val="00F024EE"/>
    <w:rsid w:val="00F02DF1"/>
    <w:rsid w:val="00F03BB5"/>
    <w:rsid w:val="00F0751A"/>
    <w:rsid w:val="00F075B5"/>
    <w:rsid w:val="00F100B8"/>
    <w:rsid w:val="00F10673"/>
    <w:rsid w:val="00F13817"/>
    <w:rsid w:val="00F140B9"/>
    <w:rsid w:val="00F1448D"/>
    <w:rsid w:val="00F16B29"/>
    <w:rsid w:val="00F20A9B"/>
    <w:rsid w:val="00F21B74"/>
    <w:rsid w:val="00F250A3"/>
    <w:rsid w:val="00F2733B"/>
    <w:rsid w:val="00F278BB"/>
    <w:rsid w:val="00F27916"/>
    <w:rsid w:val="00F31CAA"/>
    <w:rsid w:val="00F31D7D"/>
    <w:rsid w:val="00F32934"/>
    <w:rsid w:val="00F34841"/>
    <w:rsid w:val="00F34D2C"/>
    <w:rsid w:val="00F34EAB"/>
    <w:rsid w:val="00F376E1"/>
    <w:rsid w:val="00F40024"/>
    <w:rsid w:val="00F42882"/>
    <w:rsid w:val="00F45C68"/>
    <w:rsid w:val="00F463E7"/>
    <w:rsid w:val="00F50BFE"/>
    <w:rsid w:val="00F522B8"/>
    <w:rsid w:val="00F547C1"/>
    <w:rsid w:val="00F54AE9"/>
    <w:rsid w:val="00F550D5"/>
    <w:rsid w:val="00F55D3D"/>
    <w:rsid w:val="00F56526"/>
    <w:rsid w:val="00F566CC"/>
    <w:rsid w:val="00F575BD"/>
    <w:rsid w:val="00F57808"/>
    <w:rsid w:val="00F60E33"/>
    <w:rsid w:val="00F61377"/>
    <w:rsid w:val="00F62E75"/>
    <w:rsid w:val="00F63804"/>
    <w:rsid w:val="00F63E60"/>
    <w:rsid w:val="00F64BF5"/>
    <w:rsid w:val="00F65D74"/>
    <w:rsid w:val="00F66382"/>
    <w:rsid w:val="00F6708E"/>
    <w:rsid w:val="00F6712D"/>
    <w:rsid w:val="00F70F64"/>
    <w:rsid w:val="00F734E7"/>
    <w:rsid w:val="00F73609"/>
    <w:rsid w:val="00F73FB3"/>
    <w:rsid w:val="00F740FA"/>
    <w:rsid w:val="00F74868"/>
    <w:rsid w:val="00F75F57"/>
    <w:rsid w:val="00F82CFC"/>
    <w:rsid w:val="00F8326F"/>
    <w:rsid w:val="00F83437"/>
    <w:rsid w:val="00F839DF"/>
    <w:rsid w:val="00F841D9"/>
    <w:rsid w:val="00F858B3"/>
    <w:rsid w:val="00F85FB1"/>
    <w:rsid w:val="00F8633A"/>
    <w:rsid w:val="00F86F7F"/>
    <w:rsid w:val="00F87413"/>
    <w:rsid w:val="00F8793E"/>
    <w:rsid w:val="00F9160C"/>
    <w:rsid w:val="00F926AE"/>
    <w:rsid w:val="00F937B6"/>
    <w:rsid w:val="00F94675"/>
    <w:rsid w:val="00F95219"/>
    <w:rsid w:val="00F96156"/>
    <w:rsid w:val="00F97452"/>
    <w:rsid w:val="00F97FD9"/>
    <w:rsid w:val="00FA059B"/>
    <w:rsid w:val="00FA1485"/>
    <w:rsid w:val="00FA1842"/>
    <w:rsid w:val="00FA19EE"/>
    <w:rsid w:val="00FA2957"/>
    <w:rsid w:val="00FA32CF"/>
    <w:rsid w:val="00FA4DB5"/>
    <w:rsid w:val="00FA73FA"/>
    <w:rsid w:val="00FB0500"/>
    <w:rsid w:val="00FB27D3"/>
    <w:rsid w:val="00FB30FC"/>
    <w:rsid w:val="00FB338B"/>
    <w:rsid w:val="00FB3482"/>
    <w:rsid w:val="00FB5242"/>
    <w:rsid w:val="00FB7659"/>
    <w:rsid w:val="00FC05A0"/>
    <w:rsid w:val="00FC1797"/>
    <w:rsid w:val="00FC1815"/>
    <w:rsid w:val="00FC1E10"/>
    <w:rsid w:val="00FC2327"/>
    <w:rsid w:val="00FC35AB"/>
    <w:rsid w:val="00FC39CA"/>
    <w:rsid w:val="00FC42E2"/>
    <w:rsid w:val="00FD408E"/>
    <w:rsid w:val="00FD42CC"/>
    <w:rsid w:val="00FD63BF"/>
    <w:rsid w:val="00FD6E12"/>
    <w:rsid w:val="00FD726E"/>
    <w:rsid w:val="00FD7E91"/>
    <w:rsid w:val="00FE0D78"/>
    <w:rsid w:val="00FE0E37"/>
    <w:rsid w:val="00FE17B9"/>
    <w:rsid w:val="00FE35B6"/>
    <w:rsid w:val="00FE4EAF"/>
    <w:rsid w:val="00FE5187"/>
    <w:rsid w:val="00FE5FFA"/>
    <w:rsid w:val="00FE6F59"/>
    <w:rsid w:val="00FE748C"/>
    <w:rsid w:val="00FF066B"/>
    <w:rsid w:val="00FF0EA0"/>
    <w:rsid w:val="00FF3428"/>
    <w:rsid w:val="00FF44C4"/>
    <w:rsid w:val="00FF4AEB"/>
    <w:rsid w:val="00FF4CCE"/>
    <w:rsid w:val="00FF53D9"/>
    <w:rsid w:val="00FF616C"/>
    <w:rsid w:val="00FF6607"/>
    <w:rsid w:val="017778E5"/>
    <w:rsid w:val="01B9244C"/>
    <w:rsid w:val="02F53218"/>
    <w:rsid w:val="0334789D"/>
    <w:rsid w:val="03AA425A"/>
    <w:rsid w:val="03E65C83"/>
    <w:rsid w:val="041C05BB"/>
    <w:rsid w:val="057F7DEF"/>
    <w:rsid w:val="059B5A95"/>
    <w:rsid w:val="06C22ED2"/>
    <w:rsid w:val="07AD5F77"/>
    <w:rsid w:val="08056AB4"/>
    <w:rsid w:val="089F4457"/>
    <w:rsid w:val="09642DAD"/>
    <w:rsid w:val="0A730712"/>
    <w:rsid w:val="0B6158EF"/>
    <w:rsid w:val="0BC176CB"/>
    <w:rsid w:val="0CEC2986"/>
    <w:rsid w:val="0D333582"/>
    <w:rsid w:val="0F723557"/>
    <w:rsid w:val="0FCE0E92"/>
    <w:rsid w:val="100C0484"/>
    <w:rsid w:val="104351B3"/>
    <w:rsid w:val="11025DF8"/>
    <w:rsid w:val="115460D7"/>
    <w:rsid w:val="11E6652F"/>
    <w:rsid w:val="12C0359E"/>
    <w:rsid w:val="152D239E"/>
    <w:rsid w:val="167766B9"/>
    <w:rsid w:val="167B6A1D"/>
    <w:rsid w:val="169F1FC2"/>
    <w:rsid w:val="18027509"/>
    <w:rsid w:val="1A370E5D"/>
    <w:rsid w:val="1A82529F"/>
    <w:rsid w:val="1ACD74C5"/>
    <w:rsid w:val="1B36026F"/>
    <w:rsid w:val="1BCC2910"/>
    <w:rsid w:val="1DEA1876"/>
    <w:rsid w:val="1E152DEA"/>
    <w:rsid w:val="1E465D00"/>
    <w:rsid w:val="1EDD059C"/>
    <w:rsid w:val="20CE2CBE"/>
    <w:rsid w:val="21613DC5"/>
    <w:rsid w:val="219D1070"/>
    <w:rsid w:val="22134CFE"/>
    <w:rsid w:val="224D5DF6"/>
    <w:rsid w:val="22BA04F7"/>
    <w:rsid w:val="238D68A3"/>
    <w:rsid w:val="241B3555"/>
    <w:rsid w:val="24D132EC"/>
    <w:rsid w:val="24E1098F"/>
    <w:rsid w:val="24F979CF"/>
    <w:rsid w:val="26193834"/>
    <w:rsid w:val="26B7240F"/>
    <w:rsid w:val="273C7B31"/>
    <w:rsid w:val="28B5472C"/>
    <w:rsid w:val="2A665AA9"/>
    <w:rsid w:val="2B321550"/>
    <w:rsid w:val="2B3A57C8"/>
    <w:rsid w:val="2B741185"/>
    <w:rsid w:val="2B9E3602"/>
    <w:rsid w:val="2BB17B9A"/>
    <w:rsid w:val="2C50328E"/>
    <w:rsid w:val="2C701B70"/>
    <w:rsid w:val="2D40315E"/>
    <w:rsid w:val="2DE66208"/>
    <w:rsid w:val="2E255B70"/>
    <w:rsid w:val="2E494294"/>
    <w:rsid w:val="2E8455E2"/>
    <w:rsid w:val="2EA10EBC"/>
    <w:rsid w:val="2EC924C7"/>
    <w:rsid w:val="2F2B1C35"/>
    <w:rsid w:val="30894E1C"/>
    <w:rsid w:val="31AB0563"/>
    <w:rsid w:val="32040476"/>
    <w:rsid w:val="323A0364"/>
    <w:rsid w:val="338B3AF5"/>
    <w:rsid w:val="34AE6999"/>
    <w:rsid w:val="35082C95"/>
    <w:rsid w:val="36794213"/>
    <w:rsid w:val="369203E4"/>
    <w:rsid w:val="38A3573B"/>
    <w:rsid w:val="38D74648"/>
    <w:rsid w:val="390045F1"/>
    <w:rsid w:val="3B1A46B1"/>
    <w:rsid w:val="3CC82828"/>
    <w:rsid w:val="3DFC7BE6"/>
    <w:rsid w:val="400E2C48"/>
    <w:rsid w:val="40990EB1"/>
    <w:rsid w:val="41F13619"/>
    <w:rsid w:val="42FE5622"/>
    <w:rsid w:val="43454A75"/>
    <w:rsid w:val="43570A9E"/>
    <w:rsid w:val="43624D4C"/>
    <w:rsid w:val="43776534"/>
    <w:rsid w:val="445C36F6"/>
    <w:rsid w:val="448311B9"/>
    <w:rsid w:val="47C979FB"/>
    <w:rsid w:val="492D573F"/>
    <w:rsid w:val="4AA874A9"/>
    <w:rsid w:val="4BBA5E50"/>
    <w:rsid w:val="4C3437F7"/>
    <w:rsid w:val="4C5E2144"/>
    <w:rsid w:val="4C6B46A0"/>
    <w:rsid w:val="4E481A1B"/>
    <w:rsid w:val="4E606B49"/>
    <w:rsid w:val="4EEC20B3"/>
    <w:rsid w:val="4F0C5881"/>
    <w:rsid w:val="4F250F4E"/>
    <w:rsid w:val="4F2C6C47"/>
    <w:rsid w:val="4F301750"/>
    <w:rsid w:val="4F3720A9"/>
    <w:rsid w:val="506B7C8F"/>
    <w:rsid w:val="50A72593"/>
    <w:rsid w:val="51271DA5"/>
    <w:rsid w:val="51645233"/>
    <w:rsid w:val="517A5962"/>
    <w:rsid w:val="53EA0E7E"/>
    <w:rsid w:val="54666164"/>
    <w:rsid w:val="582F1C71"/>
    <w:rsid w:val="5A6605FC"/>
    <w:rsid w:val="5B6F5940"/>
    <w:rsid w:val="5BCF0BCF"/>
    <w:rsid w:val="5C323A8D"/>
    <w:rsid w:val="5CC12E12"/>
    <w:rsid w:val="5D810126"/>
    <w:rsid w:val="5DC07400"/>
    <w:rsid w:val="5DC911C3"/>
    <w:rsid w:val="5E2049E0"/>
    <w:rsid w:val="5E832459"/>
    <w:rsid w:val="5F1D035A"/>
    <w:rsid w:val="5F9E1AE8"/>
    <w:rsid w:val="60D1734A"/>
    <w:rsid w:val="612C0D28"/>
    <w:rsid w:val="613B5DC3"/>
    <w:rsid w:val="616D17FB"/>
    <w:rsid w:val="61CE78E3"/>
    <w:rsid w:val="62E73159"/>
    <w:rsid w:val="62FF0C2F"/>
    <w:rsid w:val="647A3984"/>
    <w:rsid w:val="651D2E62"/>
    <w:rsid w:val="658B24C1"/>
    <w:rsid w:val="66116B15"/>
    <w:rsid w:val="66324BA2"/>
    <w:rsid w:val="66384360"/>
    <w:rsid w:val="665C3741"/>
    <w:rsid w:val="6B70375F"/>
    <w:rsid w:val="6BA92CD1"/>
    <w:rsid w:val="6BDB1FF7"/>
    <w:rsid w:val="6C0952C5"/>
    <w:rsid w:val="6CCF304D"/>
    <w:rsid w:val="6CDF3925"/>
    <w:rsid w:val="6D025D5E"/>
    <w:rsid w:val="6D676E26"/>
    <w:rsid w:val="6DC50413"/>
    <w:rsid w:val="6DC522E8"/>
    <w:rsid w:val="6F1E0DA2"/>
    <w:rsid w:val="6F5C04BE"/>
    <w:rsid w:val="70901CCF"/>
    <w:rsid w:val="70952156"/>
    <w:rsid w:val="70CC6518"/>
    <w:rsid w:val="71F96A05"/>
    <w:rsid w:val="73131D48"/>
    <w:rsid w:val="75F86017"/>
    <w:rsid w:val="75FD0754"/>
    <w:rsid w:val="76116A13"/>
    <w:rsid w:val="77DB5FB3"/>
    <w:rsid w:val="77E048EF"/>
    <w:rsid w:val="78706B1F"/>
    <w:rsid w:val="78BD3C1D"/>
    <w:rsid w:val="7A947FA7"/>
    <w:rsid w:val="7AB521CA"/>
    <w:rsid w:val="7B1C0A66"/>
    <w:rsid w:val="7C027F9A"/>
    <w:rsid w:val="7C95557C"/>
    <w:rsid w:val="7D704026"/>
    <w:rsid w:val="7D9212E1"/>
    <w:rsid w:val="7DBE3D6A"/>
    <w:rsid w:val="7EBB576E"/>
    <w:rsid w:val="7EE2501B"/>
    <w:rsid w:val="7EE82C01"/>
    <w:rsid w:val="7F4C6873"/>
    <w:rsid w:val="7F510454"/>
    <w:rsid w:val="7FAB7D0E"/>
    <w:rsid w:val="7FB77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0"/>
    <w:qFormat/>
    <w:uiPriority w:val="99"/>
    <w:pPr>
      <w:keepNext/>
      <w:keepLines/>
      <w:spacing w:before="260" w:after="260" w:line="413" w:lineRule="auto"/>
      <w:jc w:val="center"/>
      <w:outlineLvl w:val="1"/>
    </w:pPr>
    <w:rPr>
      <w:b/>
      <w:bCs/>
      <w:sz w:val="32"/>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5"/>
    <w:semiHidden/>
    <w:qFormat/>
    <w:uiPriority w:val="0"/>
    <w:pPr>
      <w:jc w:val="left"/>
    </w:pPr>
  </w:style>
  <w:style w:type="paragraph" w:styleId="4">
    <w:name w:val="toc 3"/>
    <w:basedOn w:val="1"/>
    <w:next w:val="1"/>
    <w:unhideWhenUsed/>
    <w:qFormat/>
    <w:uiPriority w:val="39"/>
    <w:pPr>
      <w:tabs>
        <w:tab w:val="right" w:leader="dot" w:pos="9062"/>
      </w:tabs>
      <w:ind w:left="420"/>
      <w:jc w:val="left"/>
    </w:pPr>
    <w:rPr>
      <w:rFonts w:ascii="仿宋" w:hAnsi="仿宋" w:eastAsia="仿宋"/>
      <w:b/>
      <w:iCs/>
      <w:sz w:val="28"/>
      <w:szCs w:val="28"/>
    </w:rPr>
  </w:style>
  <w:style w:type="paragraph" w:styleId="5">
    <w:name w:val="Balloon Text"/>
    <w:basedOn w:val="1"/>
    <w:link w:val="21"/>
    <w:qFormat/>
    <w:uiPriority w:val="0"/>
    <w:rPr>
      <w:rFonts w:asciiTheme="minorHAnsi" w:hAnsiTheme="minorHAnsi" w:eastAsiaTheme="minorEastAsia" w:cstheme="minorBidi"/>
      <w:sz w:val="18"/>
      <w:szCs w:val="18"/>
    </w:rPr>
  </w:style>
  <w:style w:type="paragraph" w:styleId="6">
    <w:name w:val="footer"/>
    <w:basedOn w:val="1"/>
    <w:link w:val="23"/>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toc 1"/>
    <w:basedOn w:val="1"/>
    <w:next w:val="1"/>
    <w:qFormat/>
    <w:uiPriority w:val="0"/>
  </w:style>
  <w:style w:type="paragraph" w:styleId="9">
    <w:name w:val="toc 4"/>
    <w:basedOn w:val="1"/>
    <w:next w:val="1"/>
    <w:unhideWhenUsed/>
    <w:qFormat/>
    <w:uiPriority w:val="39"/>
    <w:pPr>
      <w:ind w:left="630"/>
      <w:jc w:val="left"/>
    </w:pPr>
    <w:rPr>
      <w:rFonts w:ascii="Calibri" w:hAnsi="Calibri"/>
      <w:sz w:val="18"/>
      <w:szCs w:val="18"/>
    </w:rPr>
  </w:style>
  <w:style w:type="paragraph" w:styleId="10">
    <w:name w:val="toc 2"/>
    <w:basedOn w:val="1"/>
    <w:next w:val="1"/>
    <w:unhideWhenUsed/>
    <w:qFormat/>
    <w:uiPriority w:val="39"/>
    <w:pPr>
      <w:ind w:left="210"/>
      <w:jc w:val="left"/>
    </w:pPr>
    <w:rPr>
      <w:rFonts w:ascii="Calibri" w:hAnsi="Calibri"/>
      <w:smallCaps/>
      <w:sz w:val="20"/>
      <w:szCs w:val="20"/>
    </w:rPr>
  </w:style>
  <w:style w:type="paragraph" w:styleId="11">
    <w:name w:val="HTML Preformatted"/>
    <w:basedOn w:val="1"/>
    <w:link w:val="2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3">
    <w:name w:val="annotation subject"/>
    <w:basedOn w:val="3"/>
    <w:next w:val="3"/>
    <w:link w:val="26"/>
    <w:semiHidden/>
    <w:qFormat/>
    <w:uiPriority w:val="0"/>
    <w:rPr>
      <w:b/>
      <w:bCs/>
    </w:rPr>
  </w:style>
  <w:style w:type="character" w:styleId="16">
    <w:name w:val="Strong"/>
    <w:qFormat/>
    <w:uiPriority w:val="22"/>
    <w:rPr>
      <w:rFonts w:cs="Times New Roman"/>
      <w:b/>
      <w:bCs/>
    </w:rPr>
  </w:style>
  <w:style w:type="character" w:styleId="17">
    <w:name w:val="page number"/>
    <w:basedOn w:val="15"/>
    <w:qFormat/>
    <w:uiPriority w:val="0"/>
  </w:style>
  <w:style w:type="character" w:styleId="18">
    <w:name w:val="Hyperlink"/>
    <w:unhideWhenUsed/>
    <w:qFormat/>
    <w:uiPriority w:val="99"/>
    <w:rPr>
      <w:color w:val="0000FF"/>
      <w:u w:val="single"/>
    </w:rPr>
  </w:style>
  <w:style w:type="character" w:styleId="19">
    <w:name w:val="annotation reference"/>
    <w:semiHidden/>
    <w:qFormat/>
    <w:uiPriority w:val="0"/>
    <w:rPr>
      <w:sz w:val="21"/>
      <w:szCs w:val="21"/>
    </w:rPr>
  </w:style>
  <w:style w:type="character" w:customStyle="1" w:styleId="20">
    <w:name w:val="标题 2 字符"/>
    <w:basedOn w:val="15"/>
    <w:link w:val="2"/>
    <w:qFormat/>
    <w:uiPriority w:val="99"/>
    <w:rPr>
      <w:rFonts w:ascii="Times New Roman" w:hAnsi="Times New Roman" w:eastAsia="宋体" w:cs="Times New Roman"/>
      <w:b/>
      <w:bCs/>
      <w:sz w:val="32"/>
      <w:szCs w:val="32"/>
    </w:rPr>
  </w:style>
  <w:style w:type="character" w:customStyle="1" w:styleId="21">
    <w:name w:val="批注框文本 字符"/>
    <w:link w:val="5"/>
    <w:qFormat/>
    <w:uiPriority w:val="0"/>
    <w:rPr>
      <w:sz w:val="18"/>
      <w:szCs w:val="18"/>
    </w:rPr>
  </w:style>
  <w:style w:type="character" w:customStyle="1" w:styleId="22">
    <w:name w:val="页眉 字符"/>
    <w:link w:val="7"/>
    <w:qFormat/>
    <w:uiPriority w:val="0"/>
    <w:rPr>
      <w:sz w:val="18"/>
      <w:szCs w:val="18"/>
    </w:rPr>
  </w:style>
  <w:style w:type="character" w:customStyle="1" w:styleId="23">
    <w:name w:val="页脚 字符"/>
    <w:link w:val="6"/>
    <w:qFormat/>
    <w:uiPriority w:val="99"/>
    <w:rPr>
      <w:sz w:val="18"/>
      <w:szCs w:val="18"/>
    </w:rPr>
  </w:style>
  <w:style w:type="character" w:customStyle="1" w:styleId="24">
    <w:name w:val="批注框文本 Char1"/>
    <w:basedOn w:val="15"/>
    <w:semiHidden/>
    <w:qFormat/>
    <w:uiPriority w:val="99"/>
    <w:rPr>
      <w:rFonts w:ascii="Times New Roman" w:hAnsi="Times New Roman" w:eastAsia="宋体" w:cs="Times New Roman"/>
      <w:sz w:val="18"/>
      <w:szCs w:val="18"/>
    </w:rPr>
  </w:style>
  <w:style w:type="character" w:customStyle="1" w:styleId="25">
    <w:name w:val="批注文字 字符"/>
    <w:basedOn w:val="15"/>
    <w:link w:val="3"/>
    <w:semiHidden/>
    <w:qFormat/>
    <w:uiPriority w:val="0"/>
    <w:rPr>
      <w:rFonts w:ascii="Times New Roman" w:hAnsi="Times New Roman" w:eastAsia="宋体" w:cs="Times New Roman"/>
      <w:szCs w:val="24"/>
    </w:rPr>
  </w:style>
  <w:style w:type="character" w:customStyle="1" w:styleId="26">
    <w:name w:val="批注主题 字符"/>
    <w:basedOn w:val="25"/>
    <w:link w:val="13"/>
    <w:semiHidden/>
    <w:qFormat/>
    <w:uiPriority w:val="0"/>
    <w:rPr>
      <w:rFonts w:ascii="Times New Roman" w:hAnsi="Times New Roman" w:eastAsia="宋体" w:cs="Times New Roman"/>
      <w:b/>
      <w:bCs/>
      <w:szCs w:val="24"/>
    </w:rPr>
  </w:style>
  <w:style w:type="character" w:customStyle="1" w:styleId="27">
    <w:name w:val="页眉 Char1"/>
    <w:basedOn w:val="15"/>
    <w:semiHidden/>
    <w:qFormat/>
    <w:uiPriority w:val="99"/>
    <w:rPr>
      <w:rFonts w:ascii="Times New Roman" w:hAnsi="Times New Roman" w:eastAsia="宋体" w:cs="Times New Roman"/>
      <w:sz w:val="18"/>
      <w:szCs w:val="18"/>
    </w:rPr>
  </w:style>
  <w:style w:type="character" w:customStyle="1" w:styleId="28">
    <w:name w:val="页脚 Char1"/>
    <w:basedOn w:val="15"/>
    <w:semiHidden/>
    <w:qFormat/>
    <w:uiPriority w:val="99"/>
    <w:rPr>
      <w:rFonts w:ascii="Times New Roman" w:hAnsi="Times New Roman" w:eastAsia="宋体" w:cs="Times New Roman"/>
      <w:sz w:val="18"/>
      <w:szCs w:val="18"/>
    </w:rPr>
  </w:style>
  <w:style w:type="character" w:customStyle="1" w:styleId="29">
    <w:name w:val="HTML 预设格式 字符"/>
    <w:basedOn w:val="15"/>
    <w:link w:val="11"/>
    <w:qFormat/>
    <w:uiPriority w:val="0"/>
    <w:rPr>
      <w:rFonts w:ascii="宋体" w:hAnsi="宋体" w:eastAsia="宋体" w:cs="宋体"/>
      <w:kern w:val="0"/>
      <w:sz w:val="24"/>
      <w:szCs w:val="24"/>
    </w:rPr>
  </w:style>
  <w:style w:type="paragraph" w:customStyle="1" w:styleId="30">
    <w:name w:val="Char"/>
    <w:basedOn w:val="1"/>
    <w:qFormat/>
    <w:uiPriority w:val="0"/>
    <w:pPr>
      <w:widowControl/>
      <w:spacing w:after="160" w:line="240" w:lineRule="exact"/>
      <w:jc w:val="left"/>
    </w:pPr>
    <w:rPr>
      <w:szCs w:val="20"/>
    </w:rPr>
  </w:style>
  <w:style w:type="paragraph" w:customStyle="1" w:styleId="31">
    <w:name w:val="列出段落1"/>
    <w:basedOn w:val="1"/>
    <w:qFormat/>
    <w:uiPriority w:val="99"/>
    <w:pPr>
      <w:ind w:firstLine="420" w:firstLineChars="200"/>
    </w:pPr>
    <w:rPr>
      <w:rFonts w:ascii="Calibri" w:hAnsi="Calibri"/>
    </w:rPr>
  </w:style>
  <w:style w:type="paragraph" w:customStyle="1" w:styleId="32">
    <w:name w:val="Char Char"/>
    <w:basedOn w:val="1"/>
    <w:qFormat/>
    <w:uiPriority w:val="0"/>
    <w:pPr>
      <w:widowControl/>
      <w:autoSpaceDE w:val="0"/>
      <w:autoSpaceDN w:val="0"/>
      <w:adjustRightInd w:val="0"/>
      <w:spacing w:after="160" w:line="240" w:lineRule="exact"/>
      <w:jc w:val="left"/>
    </w:pPr>
    <w:rPr>
      <w:szCs w:val="20"/>
    </w:rPr>
  </w:style>
  <w:style w:type="character" w:customStyle="1" w:styleId="33">
    <w:name w:val="font11"/>
    <w:basedOn w:val="15"/>
    <w:qFormat/>
    <w:uiPriority w:val="0"/>
    <w:rPr>
      <w:rFonts w:hint="default" w:ascii="Arial" w:hAnsi="Arial" w:cs="Arial"/>
      <w:color w:val="000000"/>
      <w:sz w:val="24"/>
      <w:szCs w:val="24"/>
      <w:u w:val="none"/>
    </w:rPr>
  </w:style>
  <w:style w:type="character" w:customStyle="1" w:styleId="34">
    <w:name w:val="font01"/>
    <w:basedOn w:val="15"/>
    <w:qFormat/>
    <w:uiPriority w:val="0"/>
    <w:rPr>
      <w:rFonts w:hint="eastAsia" w:ascii="宋体" w:hAnsi="宋体" w:eastAsia="宋体" w:cs="宋体"/>
      <w:color w:val="000000"/>
      <w:sz w:val="24"/>
      <w:szCs w:val="24"/>
      <w:u w:val="none"/>
    </w:rPr>
  </w:style>
  <w:style w:type="paragraph" w:customStyle="1" w:styleId="35">
    <w:name w:val="列出段落2"/>
    <w:basedOn w:val="1"/>
    <w:qFormat/>
    <w:uiPriority w:val="0"/>
    <w:pPr>
      <w:ind w:firstLine="420" w:firstLineChars="200"/>
    </w:pPr>
    <w:rPr>
      <w:rFonts w:ascii="Calibri" w:hAnsi="Calibri" w:cs="黑体"/>
    </w:rPr>
  </w:style>
  <w:style w:type="paragraph" w:styleId="3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38A9CC-C8C6-44CD-9CF1-EE57B9C74D0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32</Pages>
  <Words>12851</Words>
  <Characters>13313</Characters>
  <Lines>119</Lines>
  <Paragraphs>33</Paragraphs>
  <TotalTime>80</TotalTime>
  <ScaleCrop>false</ScaleCrop>
  <LinksUpToDate>false</LinksUpToDate>
  <CharactersWithSpaces>13497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2022-05-31T01:22:00Z</dcterms:created>
  <dc:creator>Windows 用户</dc:creator>
  <cp:lastModifiedBy>便便</cp:lastModifiedBy>
  <cp:lastPrinted>2020-08-10T07:05:00Z</cp:lastPrinted>
  <dcterms:modified xsi:type="dcterms:W3CDTF">2023-09-24T14:17:31Z</dcterms:modified>
  <cp:revision>1847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383259FBF974441CB6F154555E39FA57</vt:lpwstr>
  </property>
</Properties>
</file>