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楷体" w:hAnsi="楷体" w:eastAsia="楷体"/>
          <w:bCs/>
          <w:sz w:val="36"/>
          <w:szCs w:val="36"/>
        </w:rPr>
      </w:pPr>
      <w:r>
        <w:rPr>
          <w:rFonts w:hint="eastAsia" w:ascii="楷体" w:hAnsi="楷体" w:eastAsia="楷体" w:cs="楷体"/>
          <w:bCs/>
          <w:sz w:val="36"/>
          <w:szCs w:val="36"/>
          <w:lang w:val="en-US" w:eastAsia="zh-CN"/>
        </w:rPr>
        <w:t>报告编码：</w:t>
      </w:r>
      <w:r>
        <w:rPr>
          <w:rFonts w:hint="eastAsia" w:ascii="楷体" w:hAnsi="楷体" w:eastAsia="楷体" w:cs="楷体"/>
          <w:bCs/>
          <w:sz w:val="36"/>
          <w:szCs w:val="36"/>
        </w:rPr>
        <w:t>鄂恒会咨字﹝</w:t>
      </w:r>
      <w:r>
        <w:rPr>
          <w:rFonts w:ascii="楷体" w:hAnsi="楷体" w:eastAsia="楷体" w:cs="楷体"/>
          <w:bCs/>
          <w:sz w:val="36"/>
          <w:szCs w:val="36"/>
        </w:rPr>
        <w:t>202</w:t>
      </w:r>
      <w:r>
        <w:rPr>
          <w:rFonts w:hint="eastAsia" w:ascii="楷体" w:hAnsi="楷体" w:eastAsia="楷体" w:cs="楷体"/>
          <w:bCs/>
          <w:sz w:val="36"/>
          <w:szCs w:val="36"/>
        </w:rPr>
        <w:t>3﹞034号</w:t>
      </w:r>
    </w:p>
    <w:p>
      <w:pPr>
        <w:rPr>
          <w:rFonts w:ascii="华文中宋" w:hAnsi="华文中宋" w:eastAsia="华文中宋"/>
          <w:b/>
          <w:sz w:val="10"/>
          <w:szCs w:val="10"/>
        </w:rPr>
      </w:pPr>
    </w:p>
    <w:p>
      <w:pPr>
        <w:jc w:val="center"/>
        <w:rPr>
          <w:rFonts w:ascii="华文中宋" w:hAnsi="华文中宋" w:eastAsia="华文中宋"/>
          <w:b/>
          <w:sz w:val="10"/>
          <w:szCs w:val="10"/>
        </w:rPr>
      </w:pPr>
    </w:p>
    <w:p>
      <w:pPr>
        <w:jc w:val="center"/>
        <w:rPr>
          <w:rFonts w:ascii="华文中宋" w:hAnsi="华文中宋" w:eastAsia="华文中宋"/>
          <w:b/>
          <w:sz w:val="48"/>
          <w:szCs w:val="48"/>
        </w:rPr>
      </w:pPr>
      <w:r>
        <w:rPr>
          <w:rFonts w:hint="eastAsia" w:ascii="方正小标宋简体" w:hAnsi="方正小标宋简体" w:eastAsia="方正小标宋简体" w:cs="方正小标宋简体"/>
          <w:b/>
          <w:sz w:val="48"/>
          <w:szCs w:val="48"/>
        </w:rPr>
        <w:t>通城县预算绩效评价报告</w:t>
      </w:r>
    </w:p>
    <w:p>
      <w:pPr>
        <w:rPr>
          <w:rFonts w:ascii="黑体" w:hAnsi="黑体" w:eastAsia="黑体"/>
          <w:sz w:val="10"/>
          <w:szCs w:val="10"/>
        </w:rPr>
      </w:pPr>
    </w:p>
    <w:p>
      <w:pPr>
        <w:rPr>
          <w:rFonts w:ascii="楷体_GB2312" w:hAnsi="楷体" w:eastAsia="楷体_GB2312"/>
          <w:sz w:val="36"/>
          <w:szCs w:val="36"/>
        </w:rPr>
      </w:pPr>
      <w:r>
        <w:rPr>
          <w:rFonts w:hint="eastAsia" w:ascii="黑体" w:hAnsi="黑体" w:eastAsia="黑体"/>
          <w:sz w:val="32"/>
          <w:szCs w:val="32"/>
        </w:rPr>
        <w:t xml:space="preserve"> </w:t>
      </w:r>
      <w:r>
        <w:rPr>
          <w:rFonts w:ascii="黑体" w:hAnsi="黑体" w:eastAsia="黑体"/>
          <w:sz w:val="32"/>
          <w:szCs w:val="32"/>
        </w:rPr>
        <w:t xml:space="preserve">                  </w:t>
      </w:r>
      <w:r>
        <w:rPr>
          <w:rFonts w:hint="eastAsia" w:ascii="黑体" w:hAnsi="黑体" w:eastAsia="黑体"/>
          <w:sz w:val="32"/>
          <w:szCs w:val="32"/>
        </w:rPr>
        <w:t xml:space="preserve"> </w:t>
      </w:r>
      <w:r>
        <w:rPr>
          <w:rFonts w:hint="eastAsia" w:ascii="楷体_GB2312" w:hAnsi="楷体" w:eastAsia="楷体_GB2312"/>
          <w:sz w:val="36"/>
          <w:szCs w:val="36"/>
        </w:rPr>
        <w:t>（缩略版）</w:t>
      </w: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华文中宋" w:hAnsi="华文中宋" w:eastAsia="华文中宋" w:cs="楷体"/>
          <w:sz w:val="36"/>
          <w:szCs w:val="36"/>
        </w:rPr>
      </w:pPr>
    </w:p>
    <w:p>
      <w:pPr>
        <w:ind w:left="1800" w:hanging="1800" w:hangingChars="500"/>
        <w:rPr>
          <w:rFonts w:ascii="华文中宋" w:hAnsi="华文中宋" w:eastAsia="华文中宋" w:cs="楷体"/>
          <w:sz w:val="36"/>
          <w:szCs w:val="36"/>
        </w:rPr>
      </w:pPr>
      <w:r>
        <w:rPr>
          <w:rFonts w:hint="eastAsia" w:ascii="华文中宋" w:hAnsi="华文中宋" w:eastAsia="华文中宋" w:cs="楷体"/>
          <w:sz w:val="36"/>
          <w:szCs w:val="36"/>
        </w:rPr>
        <w:t>报告名称：2</w:t>
      </w:r>
      <w:r>
        <w:rPr>
          <w:rFonts w:ascii="华文中宋" w:hAnsi="华文中宋" w:eastAsia="华文中宋" w:cs="楷体"/>
          <w:sz w:val="36"/>
          <w:szCs w:val="36"/>
        </w:rPr>
        <w:t>02</w:t>
      </w:r>
      <w:r>
        <w:rPr>
          <w:rFonts w:hint="eastAsia" w:ascii="华文中宋" w:hAnsi="华文中宋" w:eastAsia="华文中宋" w:cs="楷体"/>
          <w:sz w:val="36"/>
          <w:szCs w:val="36"/>
        </w:rPr>
        <w:t>2年度北港镇人民政府部门整体</w:t>
      </w:r>
    </w:p>
    <w:p>
      <w:pPr>
        <w:ind w:left="1795" w:leftChars="855"/>
        <w:rPr>
          <w:rFonts w:ascii="华文中宋" w:hAnsi="华文中宋" w:eastAsia="华文中宋" w:cs="楷体"/>
          <w:sz w:val="36"/>
          <w:szCs w:val="36"/>
        </w:rPr>
      </w:pPr>
      <w:r>
        <w:rPr>
          <w:rFonts w:hint="eastAsia" w:ascii="华文中宋" w:hAnsi="华文中宋" w:eastAsia="华文中宋" w:cs="楷体"/>
          <w:sz w:val="36"/>
          <w:szCs w:val="36"/>
        </w:rPr>
        <w:t>绩效评价报告</w:t>
      </w:r>
    </w:p>
    <w:p>
      <w:pPr>
        <w:rPr>
          <w:rFonts w:ascii="华文中宋" w:hAnsi="华文中宋" w:eastAsia="华文中宋" w:cs="楷体"/>
          <w:sz w:val="36"/>
          <w:szCs w:val="36"/>
        </w:rPr>
      </w:pPr>
      <w:r>
        <w:rPr>
          <w:rFonts w:hint="eastAsia" w:ascii="华文中宋" w:hAnsi="华文中宋" w:eastAsia="华文中宋" w:cs="楷体"/>
          <w:sz w:val="36"/>
          <w:szCs w:val="36"/>
        </w:rPr>
        <w:t>预算部门（单位）：北港镇人民政府</w:t>
      </w:r>
    </w:p>
    <w:p>
      <w:pPr>
        <w:rPr>
          <w:rFonts w:ascii="华文中宋" w:hAnsi="华文中宋" w:eastAsia="华文中宋" w:cs="楷体"/>
          <w:sz w:val="36"/>
          <w:szCs w:val="36"/>
        </w:rPr>
      </w:pPr>
      <w:r>
        <w:rPr>
          <w:rFonts w:hint="eastAsia" w:ascii="华文中宋" w:hAnsi="华文中宋" w:eastAsia="华文中宋" w:cs="楷体"/>
          <w:sz w:val="36"/>
          <w:szCs w:val="36"/>
        </w:rPr>
        <w:t>预算年度：20</w:t>
      </w:r>
      <w:r>
        <w:rPr>
          <w:rFonts w:ascii="华文中宋" w:hAnsi="华文中宋" w:eastAsia="华文中宋" w:cs="楷体"/>
          <w:sz w:val="36"/>
          <w:szCs w:val="36"/>
        </w:rPr>
        <w:t>2</w:t>
      </w:r>
      <w:r>
        <w:rPr>
          <w:rFonts w:hint="eastAsia" w:ascii="华文中宋" w:hAnsi="华文中宋" w:eastAsia="华文中宋" w:cs="楷体"/>
          <w:sz w:val="36"/>
          <w:szCs w:val="36"/>
        </w:rPr>
        <w:t>2年度</w:t>
      </w:r>
    </w:p>
    <w:p>
      <w:pPr>
        <w:rPr>
          <w:rFonts w:ascii="华文中宋" w:hAnsi="华文中宋" w:eastAsia="华文中宋" w:cs="楷体"/>
          <w:sz w:val="36"/>
          <w:szCs w:val="36"/>
        </w:rPr>
      </w:pPr>
      <w:r>
        <w:rPr>
          <w:rFonts w:hint="eastAsia" w:ascii="华文中宋" w:hAnsi="华文中宋" w:eastAsia="华文中宋" w:cs="楷体"/>
          <w:sz w:val="36"/>
          <w:szCs w:val="36"/>
        </w:rPr>
        <w:t>评价类型：项目</w:t>
      </w:r>
      <w:r>
        <w:rPr>
          <w:rFonts w:hint="eastAsia" w:ascii="华文中宋" w:hAnsi="华文中宋" w:eastAsia="华文中宋"/>
          <w:sz w:val="36"/>
          <w:szCs w:val="36"/>
        </w:rPr>
        <w:sym w:font="Wingdings" w:char="00A8"/>
      </w:r>
      <w:r>
        <w:rPr>
          <w:rFonts w:hint="eastAsia" w:ascii="华文中宋" w:hAnsi="华文中宋" w:eastAsia="华文中宋" w:cs="楷体"/>
          <w:sz w:val="36"/>
          <w:szCs w:val="36"/>
        </w:rPr>
        <w:t xml:space="preserve">  政策</w:t>
      </w:r>
      <w:r>
        <w:rPr>
          <w:rFonts w:hint="eastAsia" w:ascii="华文中宋" w:hAnsi="华文中宋" w:eastAsia="华文中宋"/>
          <w:sz w:val="36"/>
          <w:szCs w:val="36"/>
        </w:rPr>
        <w:sym w:font="Wingdings" w:char="00A8"/>
      </w:r>
      <w:r>
        <w:rPr>
          <w:rFonts w:hint="eastAsia" w:ascii="华文中宋" w:hAnsi="华文中宋" w:eastAsia="华文中宋" w:cs="楷体"/>
          <w:sz w:val="36"/>
          <w:szCs w:val="36"/>
        </w:rPr>
        <w:t xml:space="preserve">  部门整体</w:t>
      </w:r>
      <w:r>
        <w:rPr>
          <w:rFonts w:hint="eastAsia" w:ascii="华文中宋" w:hAnsi="华文中宋" w:eastAsia="华文中宋"/>
          <w:sz w:val="36"/>
          <w:szCs w:val="36"/>
        </w:rPr>
        <w:sym w:font="Wingdings" w:char="00FE"/>
      </w:r>
    </w:p>
    <w:p>
      <w:pPr>
        <w:rPr>
          <w:rFonts w:ascii="华文中宋" w:hAnsi="华文中宋" w:eastAsia="华文中宋" w:cs="楷体"/>
          <w:sz w:val="36"/>
          <w:szCs w:val="36"/>
        </w:rPr>
      </w:pPr>
    </w:p>
    <w:p>
      <w:pPr>
        <w:rPr>
          <w:rFonts w:ascii="华文中宋" w:hAnsi="华文中宋" w:eastAsia="华文中宋" w:cs="楷体"/>
          <w:sz w:val="36"/>
          <w:szCs w:val="36"/>
        </w:rPr>
      </w:pPr>
      <w:r>
        <w:rPr>
          <w:rFonts w:hint="eastAsia" w:ascii="华文中宋" w:hAnsi="华文中宋" w:eastAsia="华文中宋" w:cs="楷体"/>
          <w:sz w:val="36"/>
          <w:szCs w:val="36"/>
        </w:rPr>
        <w:t>评价单位：湖北恒信会计师事务有限公司</w:t>
      </w:r>
    </w:p>
    <w:p>
      <w:pPr>
        <w:rPr>
          <w:rFonts w:ascii="华文中宋" w:hAnsi="华文中宋" w:eastAsia="华文中宋" w:cs="楷体"/>
          <w:sz w:val="36"/>
          <w:szCs w:val="36"/>
        </w:rPr>
      </w:pPr>
      <w:r>
        <w:rPr>
          <w:rFonts w:hint="eastAsia" w:ascii="华文中宋" w:hAnsi="华文中宋" w:eastAsia="华文中宋" w:cs="楷体"/>
          <w:sz w:val="36"/>
          <w:szCs w:val="36"/>
        </w:rPr>
        <w:t>主评人1：丁永宏</w:t>
      </w:r>
    </w:p>
    <w:p>
      <w:pPr>
        <w:rPr>
          <w:rFonts w:ascii="华文中宋" w:hAnsi="华文中宋" w:eastAsia="华文中宋" w:cs="楷体"/>
          <w:sz w:val="36"/>
          <w:szCs w:val="36"/>
        </w:rPr>
      </w:pPr>
      <w:r>
        <w:rPr>
          <w:rFonts w:hint="eastAsia" w:ascii="华文中宋" w:hAnsi="华文中宋" w:eastAsia="华文中宋" w:cs="楷体"/>
          <w:sz w:val="36"/>
          <w:szCs w:val="36"/>
        </w:rPr>
        <w:t>主评人2：刘沐晗</w:t>
      </w:r>
    </w:p>
    <w:p>
      <w:pPr>
        <w:rPr>
          <w:rFonts w:hint="eastAsia" w:ascii="华文中宋" w:hAnsi="华文中宋" w:eastAsia="华文中宋" w:cs="楷体"/>
          <w:sz w:val="36"/>
          <w:szCs w:val="36"/>
        </w:rPr>
      </w:pPr>
      <w:r>
        <w:rPr>
          <w:rFonts w:hint="eastAsia" w:ascii="华文中宋" w:hAnsi="华文中宋" w:eastAsia="华文中宋" w:cs="楷体"/>
          <w:sz w:val="36"/>
          <w:szCs w:val="36"/>
        </w:rPr>
        <w:t>正式提交日期：2023年9月28日</w:t>
      </w:r>
    </w:p>
    <w:p>
      <w:pPr>
        <w:rPr>
          <w:rFonts w:hint="eastAsia" w:ascii="华文中宋" w:hAnsi="华文中宋" w:eastAsia="华文中宋" w:cs="楷体"/>
          <w:sz w:val="36"/>
          <w:szCs w:val="36"/>
        </w:rPr>
      </w:pPr>
      <w:r>
        <w:rPr>
          <w:rFonts w:hint="eastAsia" w:ascii="华文中宋" w:hAnsi="华文中宋" w:eastAsia="华文中宋" w:cs="楷体"/>
          <w:sz w:val="36"/>
          <w:szCs w:val="36"/>
        </w:rPr>
        <w:br w:type="page"/>
      </w:r>
    </w:p>
    <w:p>
      <w:pPr>
        <w:pStyle w:val="2"/>
      </w:pPr>
    </w:p>
    <w:p>
      <w:pPr>
        <w:rPr>
          <w:rFonts w:ascii="华文中宋" w:hAnsi="华文中宋" w:eastAsia="华文中宋" w:cs="楷体"/>
          <w:sz w:val="36"/>
          <w:szCs w:val="36"/>
        </w:rPr>
      </w:pPr>
    </w:p>
    <w:p>
      <w:pPr>
        <w:jc w:val="center"/>
        <w:rPr>
          <w:rFonts w:ascii="方正小标宋简体" w:hAnsi="方正小标宋简体" w:eastAsia="方正小标宋简体" w:cs="方正小标宋简体"/>
          <w:b/>
          <w:sz w:val="36"/>
          <w:szCs w:val="36"/>
        </w:rPr>
      </w:pPr>
      <w:r>
        <w:rPr>
          <w:rFonts w:ascii="楷体" w:hAnsi="楷体" w:eastAsia="楷体" w:cs="楷体"/>
          <w:b/>
          <w:sz w:val="36"/>
          <w:szCs w:val="36"/>
        </w:rPr>
        <w:br w:type="page"/>
      </w:r>
      <w:r>
        <w:rPr>
          <w:rFonts w:hint="eastAsia" w:ascii="方正小标宋简体" w:hAnsi="方正小标宋简体" w:eastAsia="方正小标宋简体" w:cs="方正小标宋简体"/>
          <w:b/>
          <w:sz w:val="36"/>
          <w:szCs w:val="36"/>
        </w:rPr>
        <w:t>目 录</w:t>
      </w:r>
    </w:p>
    <w:p>
      <w:pPr>
        <w:pStyle w:val="2"/>
        <w:rPr>
          <w:rFonts w:ascii="方正小标宋简体" w:hAnsi="方正小标宋简体" w:eastAsia="方正小标宋简体" w:cs="方正小标宋简体"/>
          <w:b/>
          <w:sz w:val="36"/>
          <w:szCs w:val="36"/>
        </w:rPr>
      </w:pPr>
    </w:p>
    <w:p>
      <w:pPr>
        <w:pStyle w:val="8"/>
        <w:tabs>
          <w:tab w:val="right" w:leader="dot" w:pos="8306"/>
        </w:tabs>
        <w:rPr>
          <w:rFonts w:eastAsia="仿宋_GB2312"/>
          <w:sz w:val="28"/>
        </w:rPr>
      </w:pPr>
      <w:r>
        <w:rPr>
          <w:rFonts w:hint="eastAsia" w:ascii="仿宋_GB2312" w:hAnsi="仿宋_GB2312" w:eastAsia="仿宋_GB2312" w:cs="仿宋_GB2312"/>
          <w:sz w:val="28"/>
          <w:szCs w:val="30"/>
        </w:rPr>
        <w:fldChar w:fldCharType="begin"/>
      </w:r>
      <w:r>
        <w:rPr>
          <w:rFonts w:hint="eastAsia" w:ascii="仿宋_GB2312" w:hAnsi="仿宋_GB2312" w:eastAsia="仿宋_GB2312" w:cs="仿宋_GB2312"/>
          <w:sz w:val="28"/>
          <w:szCs w:val="30"/>
        </w:rPr>
        <w:instrText xml:space="preserve">TOC \o "1-3" \h \u </w:instrText>
      </w:r>
      <w:r>
        <w:rPr>
          <w:rFonts w:hint="eastAsia" w:ascii="仿宋_GB2312" w:hAnsi="仿宋_GB2312" w:eastAsia="仿宋_GB2312" w:cs="仿宋_GB2312"/>
          <w:sz w:val="28"/>
          <w:szCs w:val="30"/>
        </w:rPr>
        <w:fldChar w:fldCharType="separate"/>
      </w:r>
      <w:r>
        <w:fldChar w:fldCharType="begin"/>
      </w:r>
      <w:r>
        <w:instrText xml:space="preserve"> HYPERLINK \l "_Toc28635" </w:instrText>
      </w:r>
      <w:r>
        <w:fldChar w:fldCharType="separate"/>
      </w:r>
      <w:r>
        <w:rPr>
          <w:rFonts w:hint="eastAsia" w:ascii="黑体" w:hAnsi="黑体" w:eastAsia="仿宋_GB2312" w:cs="黑体"/>
          <w:sz w:val="28"/>
          <w:szCs w:val="32"/>
        </w:rPr>
        <w:t>一、评价结论</w:t>
      </w:r>
      <w:r>
        <w:rPr>
          <w:rFonts w:eastAsia="仿宋_GB2312"/>
          <w:sz w:val="28"/>
        </w:rPr>
        <w:tab/>
      </w:r>
      <w:r>
        <w:rPr>
          <w:rFonts w:eastAsia="仿宋_GB2312"/>
          <w:sz w:val="28"/>
        </w:rPr>
        <w:fldChar w:fldCharType="begin"/>
      </w:r>
      <w:r>
        <w:rPr>
          <w:rFonts w:eastAsia="仿宋_GB2312"/>
          <w:sz w:val="28"/>
        </w:rPr>
        <w:instrText xml:space="preserve"> PAGEREF _Toc28635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"_Toc5237" </w:instrText>
      </w:r>
      <w:r>
        <w:fldChar w:fldCharType="separate"/>
      </w:r>
      <w:r>
        <w:rPr>
          <w:rFonts w:hint="eastAsia" w:ascii="楷体_GB2312" w:hAnsi="楷体_GB2312" w:eastAsia="仿宋_GB2312" w:cs="楷体_GB2312"/>
          <w:sz w:val="28"/>
          <w:szCs w:val="32"/>
        </w:rPr>
        <w:t>（一）绩效评价分数和等级</w:t>
      </w:r>
      <w:r>
        <w:rPr>
          <w:rFonts w:eastAsia="仿宋_GB2312"/>
          <w:sz w:val="28"/>
        </w:rPr>
        <w:tab/>
      </w:r>
      <w:r>
        <w:rPr>
          <w:rFonts w:eastAsia="仿宋_GB2312"/>
          <w:sz w:val="28"/>
        </w:rPr>
        <w:fldChar w:fldCharType="begin"/>
      </w:r>
      <w:r>
        <w:rPr>
          <w:rFonts w:eastAsia="仿宋_GB2312"/>
          <w:sz w:val="28"/>
        </w:rPr>
        <w:instrText xml:space="preserve"> PAGEREF _Toc5237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"_Toc22438" </w:instrText>
      </w:r>
      <w:r>
        <w:fldChar w:fldCharType="separate"/>
      </w:r>
      <w:r>
        <w:rPr>
          <w:rFonts w:hint="eastAsia" w:ascii="楷体_GB2312" w:hAnsi="楷体_GB2312" w:eastAsia="仿宋_GB2312" w:cs="楷体_GB2312"/>
          <w:sz w:val="28"/>
          <w:szCs w:val="32"/>
        </w:rPr>
        <w:t>（二）绩效评价指标情况</w:t>
      </w:r>
      <w:r>
        <w:rPr>
          <w:rFonts w:eastAsia="仿宋_GB2312"/>
          <w:sz w:val="28"/>
        </w:rPr>
        <w:tab/>
      </w:r>
      <w:r>
        <w:rPr>
          <w:rFonts w:eastAsia="仿宋_GB2312"/>
          <w:sz w:val="28"/>
        </w:rPr>
        <w:fldChar w:fldCharType="begin"/>
      </w:r>
      <w:r>
        <w:rPr>
          <w:rFonts w:eastAsia="仿宋_GB2312"/>
          <w:sz w:val="28"/>
        </w:rPr>
        <w:instrText xml:space="preserve"> PAGEREF _Toc22438 \h </w:instrText>
      </w:r>
      <w:r>
        <w:rPr>
          <w:rFonts w:eastAsia="仿宋_GB2312"/>
          <w:sz w:val="28"/>
        </w:rPr>
        <w:fldChar w:fldCharType="separate"/>
      </w:r>
      <w:r>
        <w:rPr>
          <w:rFonts w:eastAsia="仿宋_GB2312"/>
          <w:sz w:val="28"/>
        </w:rPr>
        <w:t>1</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"_Toc7429" </w:instrText>
      </w:r>
      <w:r>
        <w:fldChar w:fldCharType="separate"/>
      </w:r>
      <w:r>
        <w:rPr>
          <w:rFonts w:hint="eastAsia" w:ascii="楷体_GB2312" w:hAnsi="楷体_GB2312" w:eastAsia="仿宋_GB2312" w:cs="楷体_GB2312"/>
          <w:sz w:val="28"/>
          <w:szCs w:val="32"/>
        </w:rPr>
        <w:t>（三）以前年度结果应用情况</w:t>
      </w:r>
      <w:r>
        <w:rPr>
          <w:rFonts w:eastAsia="仿宋_GB2312"/>
          <w:sz w:val="28"/>
        </w:rPr>
        <w:tab/>
      </w:r>
      <w:r>
        <w:rPr>
          <w:rFonts w:eastAsia="仿宋_GB2312"/>
          <w:sz w:val="28"/>
        </w:rPr>
        <w:fldChar w:fldCharType="begin"/>
      </w:r>
      <w:r>
        <w:rPr>
          <w:rFonts w:eastAsia="仿宋_GB2312"/>
          <w:sz w:val="28"/>
        </w:rPr>
        <w:instrText xml:space="preserve"> PAGEREF _Toc7429 \h </w:instrText>
      </w:r>
      <w:r>
        <w:rPr>
          <w:rFonts w:eastAsia="仿宋_GB2312"/>
          <w:sz w:val="28"/>
        </w:rPr>
        <w:fldChar w:fldCharType="separate"/>
      </w:r>
      <w:r>
        <w:rPr>
          <w:rFonts w:eastAsia="仿宋_GB2312"/>
          <w:sz w:val="28"/>
        </w:rPr>
        <w:t>3</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"_Toc31301" </w:instrText>
      </w:r>
      <w:r>
        <w:fldChar w:fldCharType="separate"/>
      </w:r>
      <w:r>
        <w:rPr>
          <w:rFonts w:hint="eastAsia" w:ascii="楷体_GB2312" w:hAnsi="楷体_GB2312" w:eastAsia="仿宋_GB2312" w:cs="楷体_GB2312"/>
          <w:sz w:val="28"/>
          <w:szCs w:val="32"/>
        </w:rPr>
        <w:t>（四）主要成效、存在的突出问题和原因</w:t>
      </w:r>
      <w:r>
        <w:rPr>
          <w:rFonts w:eastAsia="仿宋_GB2312"/>
          <w:sz w:val="28"/>
        </w:rPr>
        <w:tab/>
      </w:r>
      <w:r>
        <w:rPr>
          <w:rFonts w:eastAsia="仿宋_GB2312"/>
          <w:sz w:val="28"/>
        </w:rPr>
        <w:fldChar w:fldCharType="begin"/>
      </w:r>
      <w:r>
        <w:rPr>
          <w:rFonts w:eastAsia="仿宋_GB2312"/>
          <w:sz w:val="28"/>
        </w:rPr>
        <w:instrText xml:space="preserve"> PAGEREF _Toc31301 \h </w:instrText>
      </w:r>
      <w:r>
        <w:rPr>
          <w:rFonts w:eastAsia="仿宋_GB2312"/>
          <w:sz w:val="28"/>
        </w:rPr>
        <w:fldChar w:fldCharType="separate"/>
      </w:r>
      <w:r>
        <w:rPr>
          <w:rFonts w:eastAsia="仿宋_GB2312"/>
          <w:sz w:val="28"/>
        </w:rPr>
        <w:t>4</w:t>
      </w:r>
      <w:r>
        <w:rPr>
          <w:rFonts w:eastAsia="仿宋_GB2312"/>
          <w:sz w:val="28"/>
        </w:rPr>
        <w:fldChar w:fldCharType="end"/>
      </w:r>
      <w:r>
        <w:rPr>
          <w:rFonts w:eastAsia="仿宋_GB2312"/>
          <w:sz w:val="28"/>
        </w:rPr>
        <w:fldChar w:fldCharType="end"/>
      </w:r>
    </w:p>
    <w:p>
      <w:pPr>
        <w:pStyle w:val="8"/>
        <w:tabs>
          <w:tab w:val="right" w:leader="dot" w:pos="8306"/>
        </w:tabs>
        <w:rPr>
          <w:rFonts w:eastAsia="仿宋_GB2312"/>
          <w:sz w:val="28"/>
        </w:rPr>
      </w:pPr>
      <w:r>
        <w:fldChar w:fldCharType="begin"/>
      </w:r>
      <w:r>
        <w:instrText xml:space="preserve"> HYPERLINK \l "_Toc1731" </w:instrText>
      </w:r>
      <w:r>
        <w:fldChar w:fldCharType="separate"/>
      </w:r>
      <w:r>
        <w:rPr>
          <w:rFonts w:hint="eastAsia" w:ascii="黑体" w:hAnsi="黑体" w:eastAsia="仿宋_GB2312" w:cs="黑体"/>
          <w:sz w:val="28"/>
          <w:szCs w:val="32"/>
        </w:rPr>
        <w:t>二、佐证材料</w:t>
      </w:r>
      <w:r>
        <w:rPr>
          <w:rFonts w:eastAsia="仿宋_GB2312"/>
          <w:sz w:val="28"/>
        </w:rPr>
        <w:tab/>
      </w:r>
      <w:r>
        <w:rPr>
          <w:rFonts w:eastAsia="仿宋_GB2312"/>
          <w:sz w:val="28"/>
        </w:rPr>
        <w:fldChar w:fldCharType="begin"/>
      </w:r>
      <w:r>
        <w:rPr>
          <w:rFonts w:eastAsia="仿宋_GB2312"/>
          <w:sz w:val="28"/>
        </w:rPr>
        <w:instrText xml:space="preserve"> PAGEREF _Toc1731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"_Toc17407" </w:instrText>
      </w:r>
      <w:r>
        <w:fldChar w:fldCharType="separate"/>
      </w:r>
      <w:r>
        <w:rPr>
          <w:rFonts w:hint="eastAsia" w:ascii="楷体_GB2312" w:hAnsi="楷体_GB2312" w:eastAsia="仿宋_GB2312" w:cs="楷体_GB2312"/>
          <w:sz w:val="28"/>
          <w:szCs w:val="32"/>
        </w:rPr>
        <w:t>（一）基本情况</w:t>
      </w:r>
      <w:r>
        <w:rPr>
          <w:rFonts w:eastAsia="仿宋_GB2312"/>
          <w:sz w:val="28"/>
        </w:rPr>
        <w:tab/>
      </w:r>
      <w:r>
        <w:rPr>
          <w:rFonts w:eastAsia="仿宋_GB2312"/>
          <w:sz w:val="28"/>
        </w:rPr>
        <w:fldChar w:fldCharType="begin"/>
      </w:r>
      <w:r>
        <w:rPr>
          <w:rFonts w:eastAsia="仿宋_GB2312"/>
          <w:sz w:val="28"/>
        </w:rPr>
        <w:instrText xml:space="preserve"> PAGEREF _Toc17407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"_Toc2985" </w:instrText>
      </w:r>
      <w:r>
        <w:fldChar w:fldCharType="separate"/>
      </w:r>
      <w:r>
        <w:rPr>
          <w:rFonts w:hint="eastAsia" w:ascii="仿宋_GB2312" w:hAnsi="Times New Roman" w:eastAsia="仿宋_GB2312"/>
          <w:sz w:val="28"/>
          <w:szCs w:val="32"/>
        </w:rPr>
        <w:t>1.部门支出情况</w:t>
      </w:r>
      <w:r>
        <w:rPr>
          <w:rFonts w:eastAsia="仿宋_GB2312"/>
          <w:sz w:val="28"/>
        </w:rPr>
        <w:tab/>
      </w:r>
      <w:r>
        <w:rPr>
          <w:rFonts w:eastAsia="仿宋_GB2312"/>
          <w:sz w:val="28"/>
        </w:rPr>
        <w:fldChar w:fldCharType="begin"/>
      </w:r>
      <w:r>
        <w:rPr>
          <w:rFonts w:eastAsia="仿宋_GB2312"/>
          <w:sz w:val="28"/>
        </w:rPr>
        <w:instrText xml:space="preserve"> PAGEREF _Toc2985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"_Toc23296" </w:instrText>
      </w:r>
      <w:r>
        <w:fldChar w:fldCharType="separate"/>
      </w:r>
      <w:r>
        <w:rPr>
          <w:rFonts w:hint="eastAsia" w:ascii="仿宋_GB2312" w:hAnsi="仿宋" w:eastAsia="仿宋_GB2312"/>
          <w:sz w:val="28"/>
          <w:szCs w:val="32"/>
        </w:rPr>
        <w:t>2.部门整体决算支出情况</w:t>
      </w:r>
      <w:r>
        <w:rPr>
          <w:rFonts w:eastAsia="仿宋_GB2312"/>
          <w:sz w:val="28"/>
        </w:rPr>
        <w:tab/>
      </w:r>
      <w:r>
        <w:rPr>
          <w:rFonts w:eastAsia="仿宋_GB2312"/>
          <w:sz w:val="28"/>
        </w:rPr>
        <w:fldChar w:fldCharType="begin"/>
      </w:r>
      <w:r>
        <w:rPr>
          <w:rFonts w:eastAsia="仿宋_GB2312"/>
          <w:sz w:val="28"/>
        </w:rPr>
        <w:instrText xml:space="preserve"> PAGEREF _Toc23296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"_Toc19627" </w:instrText>
      </w:r>
      <w:r>
        <w:fldChar w:fldCharType="separate"/>
      </w:r>
      <w:r>
        <w:rPr>
          <w:rFonts w:hint="eastAsia" w:ascii="仿宋_GB2312" w:hAnsi="Times New Roman" w:eastAsia="仿宋_GB2312"/>
          <w:sz w:val="28"/>
          <w:szCs w:val="32"/>
        </w:rPr>
        <w:t>3.县委县政府布置的重点工作</w:t>
      </w:r>
      <w:r>
        <w:rPr>
          <w:rFonts w:eastAsia="仿宋_GB2312"/>
          <w:sz w:val="28"/>
        </w:rPr>
        <w:tab/>
      </w:r>
      <w:r>
        <w:rPr>
          <w:rFonts w:eastAsia="仿宋_GB2312"/>
          <w:sz w:val="28"/>
        </w:rPr>
        <w:fldChar w:fldCharType="begin"/>
      </w:r>
      <w:r>
        <w:rPr>
          <w:rFonts w:eastAsia="仿宋_GB2312"/>
          <w:sz w:val="28"/>
        </w:rPr>
        <w:instrText xml:space="preserve"> PAGEREF _Toc19627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"_Toc8326" </w:instrText>
      </w:r>
      <w:r>
        <w:fldChar w:fldCharType="separate"/>
      </w:r>
      <w:r>
        <w:rPr>
          <w:rFonts w:hint="eastAsia" w:ascii="仿宋_GB2312" w:hAnsi="Times New Roman" w:eastAsia="仿宋_GB2312"/>
          <w:sz w:val="28"/>
          <w:szCs w:val="32"/>
        </w:rPr>
        <w:t>4.2022年北港镇整体绩效目标</w:t>
      </w:r>
      <w:r>
        <w:rPr>
          <w:rFonts w:eastAsia="仿宋_GB2312"/>
          <w:sz w:val="28"/>
        </w:rPr>
        <w:tab/>
      </w:r>
      <w:r>
        <w:rPr>
          <w:rFonts w:eastAsia="仿宋_GB2312"/>
          <w:sz w:val="28"/>
        </w:rPr>
        <w:fldChar w:fldCharType="begin"/>
      </w:r>
      <w:r>
        <w:rPr>
          <w:rFonts w:eastAsia="仿宋_GB2312"/>
          <w:sz w:val="28"/>
        </w:rPr>
        <w:instrText xml:space="preserve"> PAGEREF _Toc8326 \h </w:instrText>
      </w:r>
      <w:r>
        <w:rPr>
          <w:rFonts w:eastAsia="仿宋_GB2312"/>
          <w:sz w:val="28"/>
        </w:rPr>
        <w:fldChar w:fldCharType="separate"/>
      </w:r>
      <w:r>
        <w:rPr>
          <w:rFonts w:eastAsia="仿宋_GB2312"/>
          <w:sz w:val="28"/>
        </w:rPr>
        <w:t>20</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"_Toc4752" </w:instrText>
      </w:r>
      <w:r>
        <w:fldChar w:fldCharType="separate"/>
      </w:r>
      <w:r>
        <w:rPr>
          <w:rFonts w:hint="eastAsia" w:ascii="楷体_GB2312" w:hAnsi="楷体_GB2312" w:eastAsia="仿宋_GB2312" w:cs="楷体_GB2312"/>
          <w:sz w:val="28"/>
          <w:szCs w:val="32"/>
        </w:rPr>
        <w:t>（二）绩效评价工作开展情况</w:t>
      </w:r>
      <w:r>
        <w:rPr>
          <w:rFonts w:eastAsia="仿宋_GB2312"/>
          <w:sz w:val="28"/>
        </w:rPr>
        <w:tab/>
      </w:r>
      <w:r>
        <w:rPr>
          <w:rFonts w:eastAsia="仿宋_GB2312"/>
          <w:sz w:val="28"/>
        </w:rPr>
        <w:fldChar w:fldCharType="begin"/>
      </w:r>
      <w:r>
        <w:rPr>
          <w:rFonts w:eastAsia="仿宋_GB2312"/>
          <w:sz w:val="28"/>
        </w:rPr>
        <w:instrText xml:space="preserve"> PAGEREF _Toc4752 \h </w:instrText>
      </w:r>
      <w:r>
        <w:rPr>
          <w:rFonts w:eastAsia="仿宋_GB2312"/>
          <w:sz w:val="28"/>
        </w:rPr>
        <w:fldChar w:fldCharType="separate"/>
      </w:r>
      <w:r>
        <w:rPr>
          <w:rFonts w:eastAsia="仿宋_GB2312"/>
          <w:sz w:val="28"/>
        </w:rPr>
        <w:t>21</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"_Toc31505" </w:instrText>
      </w:r>
      <w:r>
        <w:fldChar w:fldCharType="separate"/>
      </w:r>
      <w:r>
        <w:rPr>
          <w:rFonts w:hint="eastAsia" w:ascii="仿宋_GB2312" w:hAnsi="Times New Roman" w:eastAsia="仿宋_GB2312"/>
          <w:bCs/>
          <w:sz w:val="28"/>
          <w:szCs w:val="32"/>
        </w:rPr>
        <w:t>1.评价目的</w:t>
      </w:r>
      <w:r>
        <w:rPr>
          <w:rFonts w:eastAsia="仿宋_GB2312"/>
          <w:sz w:val="28"/>
        </w:rPr>
        <w:tab/>
      </w:r>
      <w:r>
        <w:rPr>
          <w:rFonts w:eastAsia="仿宋_GB2312"/>
          <w:sz w:val="28"/>
        </w:rPr>
        <w:fldChar w:fldCharType="begin"/>
      </w:r>
      <w:r>
        <w:rPr>
          <w:rFonts w:eastAsia="仿宋_GB2312"/>
          <w:sz w:val="28"/>
        </w:rPr>
        <w:instrText xml:space="preserve"> PAGEREF _Toc31505 \h </w:instrText>
      </w:r>
      <w:r>
        <w:rPr>
          <w:rFonts w:eastAsia="仿宋_GB2312"/>
          <w:sz w:val="28"/>
        </w:rPr>
        <w:fldChar w:fldCharType="separate"/>
      </w:r>
      <w:r>
        <w:rPr>
          <w:rFonts w:eastAsia="仿宋_GB2312"/>
          <w:sz w:val="28"/>
        </w:rPr>
        <w:t>21</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"_Toc12130" </w:instrText>
      </w:r>
      <w:r>
        <w:fldChar w:fldCharType="separate"/>
      </w:r>
      <w:r>
        <w:rPr>
          <w:rFonts w:hint="eastAsia" w:ascii="仿宋_GB2312" w:hAnsi="仿宋_GB2312" w:eastAsia="仿宋_GB2312" w:cs="仿宋_GB2312"/>
          <w:sz w:val="28"/>
          <w:szCs w:val="32"/>
        </w:rPr>
        <w:t>2.评价对象及范围</w:t>
      </w:r>
      <w:r>
        <w:rPr>
          <w:rFonts w:eastAsia="仿宋_GB2312"/>
          <w:sz w:val="28"/>
        </w:rPr>
        <w:tab/>
      </w:r>
      <w:r>
        <w:rPr>
          <w:rFonts w:eastAsia="仿宋_GB2312"/>
          <w:sz w:val="28"/>
        </w:rPr>
        <w:fldChar w:fldCharType="begin"/>
      </w:r>
      <w:r>
        <w:rPr>
          <w:rFonts w:eastAsia="仿宋_GB2312"/>
          <w:sz w:val="28"/>
        </w:rPr>
        <w:instrText xml:space="preserve"> PAGEREF _Toc12130 \h </w:instrText>
      </w:r>
      <w:r>
        <w:rPr>
          <w:rFonts w:eastAsia="仿宋_GB2312"/>
          <w:sz w:val="28"/>
        </w:rPr>
        <w:fldChar w:fldCharType="separate"/>
      </w:r>
      <w:r>
        <w:rPr>
          <w:rFonts w:eastAsia="仿宋_GB2312"/>
          <w:sz w:val="28"/>
        </w:rPr>
        <w:t>21</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"_Toc3043" </w:instrText>
      </w:r>
      <w:r>
        <w:fldChar w:fldCharType="separate"/>
      </w:r>
      <w:r>
        <w:rPr>
          <w:rFonts w:hint="eastAsia" w:ascii="仿宋_GB2312" w:hAnsi="仿宋" w:eastAsia="仿宋_GB2312"/>
          <w:bCs/>
          <w:sz w:val="28"/>
          <w:szCs w:val="32"/>
        </w:rPr>
        <w:t>3.评价内容</w:t>
      </w:r>
      <w:r>
        <w:rPr>
          <w:rFonts w:eastAsia="仿宋_GB2312"/>
          <w:sz w:val="28"/>
        </w:rPr>
        <w:tab/>
      </w:r>
      <w:r>
        <w:rPr>
          <w:rFonts w:eastAsia="仿宋_GB2312"/>
          <w:sz w:val="28"/>
        </w:rPr>
        <w:fldChar w:fldCharType="begin"/>
      </w:r>
      <w:r>
        <w:rPr>
          <w:rFonts w:eastAsia="仿宋_GB2312"/>
          <w:sz w:val="28"/>
        </w:rPr>
        <w:instrText xml:space="preserve"> PAGEREF _Toc3043 \h </w:instrText>
      </w:r>
      <w:r>
        <w:rPr>
          <w:rFonts w:eastAsia="仿宋_GB2312"/>
          <w:sz w:val="28"/>
        </w:rPr>
        <w:fldChar w:fldCharType="separate"/>
      </w:r>
      <w:r>
        <w:rPr>
          <w:rFonts w:eastAsia="仿宋_GB2312"/>
          <w:sz w:val="28"/>
        </w:rPr>
        <w:t>22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"_Toc307" </w:instrText>
      </w:r>
      <w:r>
        <w:fldChar w:fldCharType="separate"/>
      </w:r>
      <w:r>
        <w:rPr>
          <w:rFonts w:hint="eastAsia" w:ascii="仿宋_GB2312" w:hAnsi="仿宋_GB2312" w:eastAsia="仿宋_GB2312" w:cs="仿宋_GB2312"/>
          <w:sz w:val="28"/>
          <w:szCs w:val="32"/>
        </w:rPr>
        <w:t>4.</w:t>
      </w:r>
      <w:r>
        <w:rPr>
          <w:rFonts w:hint="eastAsia" w:ascii="仿宋_GB2312" w:hAnsi="仿宋_GB2312" w:eastAsia="仿宋_GB2312" w:cs="仿宋_GB2312"/>
          <w:bCs/>
          <w:sz w:val="28"/>
          <w:szCs w:val="32"/>
        </w:rPr>
        <w:t>评价工作组织</w:t>
      </w:r>
      <w:r>
        <w:rPr>
          <w:rFonts w:eastAsia="仿宋_GB2312"/>
          <w:sz w:val="28"/>
        </w:rPr>
        <w:tab/>
      </w:r>
      <w:r>
        <w:rPr>
          <w:rFonts w:eastAsia="仿宋_GB2312"/>
          <w:sz w:val="28"/>
        </w:rPr>
        <w:fldChar w:fldCharType="begin"/>
      </w:r>
      <w:r>
        <w:rPr>
          <w:rFonts w:eastAsia="仿宋_GB2312"/>
          <w:sz w:val="28"/>
        </w:rPr>
        <w:instrText xml:space="preserve"> PAGEREF _Toc307 \h </w:instrText>
      </w:r>
      <w:r>
        <w:rPr>
          <w:rFonts w:eastAsia="仿宋_GB2312"/>
          <w:sz w:val="28"/>
        </w:rPr>
        <w:fldChar w:fldCharType="separate"/>
      </w:r>
      <w:r>
        <w:rPr>
          <w:rFonts w:eastAsia="仿宋_GB2312"/>
          <w:sz w:val="28"/>
        </w:rPr>
        <w:t>23</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"_Toc23353" </w:instrText>
      </w:r>
      <w:r>
        <w:fldChar w:fldCharType="separate"/>
      </w:r>
      <w:r>
        <w:rPr>
          <w:rFonts w:hint="eastAsia" w:ascii="仿宋_GB2312" w:hAnsi="仿宋_GB2312" w:eastAsia="仿宋_GB2312" w:cs="仿宋_GB2312"/>
          <w:sz w:val="28"/>
          <w:szCs w:val="32"/>
        </w:rPr>
        <w:t>5.绩效评价框架</w:t>
      </w:r>
      <w:r>
        <w:rPr>
          <w:rFonts w:eastAsia="仿宋_GB2312"/>
          <w:sz w:val="28"/>
        </w:rPr>
        <w:tab/>
      </w:r>
      <w:r>
        <w:rPr>
          <w:rFonts w:eastAsia="仿宋_GB2312"/>
          <w:sz w:val="28"/>
        </w:rPr>
        <w:fldChar w:fldCharType="begin"/>
      </w:r>
      <w:r>
        <w:rPr>
          <w:rFonts w:eastAsia="仿宋_GB2312"/>
          <w:sz w:val="28"/>
        </w:rPr>
        <w:instrText xml:space="preserve"> PAGEREF _Toc23353 \h </w:instrText>
      </w:r>
      <w:r>
        <w:rPr>
          <w:rFonts w:eastAsia="仿宋_GB2312"/>
          <w:sz w:val="28"/>
        </w:rPr>
        <w:fldChar w:fldCharType="separate"/>
      </w:r>
      <w:r>
        <w:rPr>
          <w:rFonts w:eastAsia="仿宋_GB2312"/>
          <w:sz w:val="28"/>
        </w:rPr>
        <w:t>24</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"_Toc20472" </w:instrText>
      </w:r>
      <w:r>
        <w:fldChar w:fldCharType="separate"/>
      </w:r>
      <w:r>
        <w:rPr>
          <w:rFonts w:hint="eastAsia" w:ascii="仿宋_GB2312" w:hAnsi="仿宋" w:eastAsia="仿宋_GB2312" w:cs="楷体"/>
          <w:sz w:val="28"/>
          <w:szCs w:val="32"/>
        </w:rPr>
        <w:t>6</w:t>
      </w:r>
      <w:r>
        <w:rPr>
          <w:rFonts w:ascii="仿宋_GB2312" w:hAnsi="仿宋" w:eastAsia="仿宋_GB2312" w:cs="楷体"/>
          <w:sz w:val="28"/>
          <w:szCs w:val="32"/>
        </w:rPr>
        <w:t>.</w:t>
      </w:r>
      <w:r>
        <w:rPr>
          <w:rFonts w:hint="eastAsia" w:ascii="仿宋_GB2312" w:hAnsi="仿宋" w:eastAsia="仿宋_GB2312" w:cs="楷体"/>
          <w:sz w:val="28"/>
          <w:szCs w:val="32"/>
        </w:rPr>
        <w:t>证据收集方法</w:t>
      </w:r>
      <w:r>
        <w:rPr>
          <w:rFonts w:eastAsia="仿宋_GB2312"/>
          <w:sz w:val="28"/>
        </w:rPr>
        <w:tab/>
      </w:r>
      <w:r>
        <w:rPr>
          <w:rFonts w:eastAsia="仿宋_GB2312"/>
          <w:sz w:val="28"/>
        </w:rPr>
        <w:fldChar w:fldCharType="begin"/>
      </w:r>
      <w:r>
        <w:rPr>
          <w:rFonts w:eastAsia="仿宋_GB2312"/>
          <w:sz w:val="28"/>
        </w:rPr>
        <w:instrText xml:space="preserve"> PAGEREF _Toc20472 \h </w:instrText>
      </w:r>
      <w:r>
        <w:rPr>
          <w:rFonts w:eastAsia="仿宋_GB2312"/>
          <w:sz w:val="28"/>
        </w:rPr>
        <w:fldChar w:fldCharType="separate"/>
      </w:r>
      <w:r>
        <w:rPr>
          <w:rFonts w:eastAsia="仿宋_GB2312"/>
          <w:sz w:val="28"/>
        </w:rPr>
        <w:t>27</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"_Toc5940" </w:instrText>
      </w:r>
      <w:r>
        <w:fldChar w:fldCharType="separate"/>
      </w:r>
      <w:r>
        <w:rPr>
          <w:rFonts w:hint="eastAsia" w:ascii="楷体_GB2312" w:hAnsi="楷体_GB2312" w:eastAsia="仿宋_GB2312" w:cs="楷体_GB2312"/>
          <w:sz w:val="28"/>
          <w:szCs w:val="32"/>
        </w:rPr>
        <w:t>（三）绩效评价指标完成情况分析</w:t>
      </w:r>
      <w:r>
        <w:rPr>
          <w:rFonts w:eastAsia="仿宋_GB2312"/>
          <w:sz w:val="28"/>
        </w:rPr>
        <w:tab/>
      </w:r>
      <w:r>
        <w:rPr>
          <w:rFonts w:eastAsia="仿宋_GB2312"/>
          <w:sz w:val="28"/>
        </w:rPr>
        <w:fldChar w:fldCharType="begin"/>
      </w:r>
      <w:r>
        <w:rPr>
          <w:rFonts w:eastAsia="仿宋_GB2312"/>
          <w:sz w:val="28"/>
        </w:rPr>
        <w:instrText xml:space="preserve"> PAGEREF _Toc5940 \h </w:instrText>
      </w:r>
      <w:r>
        <w:rPr>
          <w:rFonts w:eastAsia="仿宋_GB2312"/>
          <w:sz w:val="28"/>
        </w:rPr>
        <w:fldChar w:fldCharType="separate"/>
      </w:r>
      <w:r>
        <w:rPr>
          <w:rFonts w:eastAsia="仿宋_GB2312"/>
          <w:sz w:val="28"/>
        </w:rPr>
        <w:t>27</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"_Toc1864" </w:instrText>
      </w:r>
      <w:r>
        <w:fldChar w:fldCharType="separate"/>
      </w:r>
      <w:r>
        <w:rPr>
          <w:rFonts w:ascii="仿宋_GB2312" w:hAnsi="Times New Roman" w:eastAsia="仿宋_GB2312"/>
          <w:sz w:val="28"/>
          <w:szCs w:val="32"/>
        </w:rPr>
        <w:t>1.</w:t>
      </w:r>
      <w:r>
        <w:rPr>
          <w:rFonts w:hint="eastAsia" w:ascii="仿宋_GB2312" w:hAnsi="Times New Roman" w:eastAsia="仿宋_GB2312"/>
          <w:sz w:val="28"/>
          <w:szCs w:val="32"/>
        </w:rPr>
        <w:t>运行成本指标完成情况详细分析</w:t>
      </w:r>
      <w:r>
        <w:rPr>
          <w:rFonts w:eastAsia="仿宋_GB2312"/>
          <w:sz w:val="28"/>
        </w:rPr>
        <w:tab/>
      </w:r>
      <w:r>
        <w:rPr>
          <w:rFonts w:eastAsia="仿宋_GB2312"/>
          <w:sz w:val="28"/>
        </w:rPr>
        <w:fldChar w:fldCharType="begin"/>
      </w:r>
      <w:r>
        <w:rPr>
          <w:rFonts w:eastAsia="仿宋_GB2312"/>
          <w:sz w:val="28"/>
        </w:rPr>
        <w:instrText xml:space="preserve"> PAGEREF _Toc1864 \h </w:instrText>
      </w:r>
      <w:r>
        <w:rPr>
          <w:rFonts w:eastAsia="仿宋_GB2312"/>
          <w:sz w:val="28"/>
        </w:rPr>
        <w:fldChar w:fldCharType="separate"/>
      </w:r>
      <w:r>
        <w:rPr>
          <w:rFonts w:eastAsia="仿宋_GB2312"/>
          <w:sz w:val="28"/>
        </w:rPr>
        <w:t>28</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"_Toc803" </w:instrText>
      </w:r>
      <w:r>
        <w:fldChar w:fldCharType="separate"/>
      </w:r>
      <w:r>
        <w:rPr>
          <w:rFonts w:ascii="仿宋_GB2312" w:hAnsi="Times New Roman" w:eastAsia="仿宋_GB2312"/>
          <w:sz w:val="28"/>
          <w:szCs w:val="32"/>
        </w:rPr>
        <w:t>2.</w:t>
      </w:r>
      <w:r>
        <w:rPr>
          <w:rFonts w:hint="eastAsia" w:ascii="仿宋_GB2312" w:hAnsi="Times New Roman" w:eastAsia="仿宋_GB2312"/>
          <w:sz w:val="28"/>
          <w:szCs w:val="32"/>
        </w:rPr>
        <w:t>管理效率指标完成情况详细分析</w:t>
      </w:r>
      <w:r>
        <w:rPr>
          <w:rFonts w:eastAsia="仿宋_GB2312"/>
          <w:sz w:val="28"/>
        </w:rPr>
        <w:tab/>
      </w:r>
      <w:r>
        <w:rPr>
          <w:rFonts w:eastAsia="仿宋_GB2312"/>
          <w:sz w:val="28"/>
        </w:rPr>
        <w:fldChar w:fldCharType="begin"/>
      </w:r>
      <w:r>
        <w:rPr>
          <w:rFonts w:eastAsia="仿宋_GB2312"/>
          <w:sz w:val="28"/>
        </w:rPr>
        <w:instrText xml:space="preserve"> PAGEREF _Toc803 \h </w:instrText>
      </w:r>
      <w:r>
        <w:rPr>
          <w:rFonts w:eastAsia="仿宋_GB2312"/>
          <w:sz w:val="28"/>
        </w:rPr>
        <w:fldChar w:fldCharType="separate"/>
      </w:r>
      <w:r>
        <w:rPr>
          <w:rFonts w:eastAsia="仿宋_GB2312"/>
          <w:sz w:val="28"/>
        </w:rPr>
        <w:t>29</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"_Toc4864" </w:instrText>
      </w:r>
      <w:r>
        <w:fldChar w:fldCharType="separate"/>
      </w:r>
      <w:r>
        <w:rPr>
          <w:rFonts w:ascii="仿宋_GB2312" w:hAnsi="Times New Roman" w:eastAsia="仿宋_GB2312"/>
          <w:sz w:val="28"/>
          <w:szCs w:val="32"/>
        </w:rPr>
        <w:t>3.</w:t>
      </w:r>
      <w:r>
        <w:rPr>
          <w:rFonts w:hint="eastAsia" w:ascii="仿宋_GB2312" w:hAnsi="Times New Roman" w:eastAsia="仿宋_GB2312"/>
          <w:sz w:val="28"/>
          <w:szCs w:val="32"/>
        </w:rPr>
        <w:t>履职效能指标完成情况详细分析</w:t>
      </w:r>
      <w:r>
        <w:rPr>
          <w:rFonts w:eastAsia="仿宋_GB2312"/>
          <w:sz w:val="28"/>
        </w:rPr>
        <w:tab/>
      </w:r>
      <w:r>
        <w:rPr>
          <w:rFonts w:eastAsia="仿宋_GB2312"/>
          <w:sz w:val="28"/>
        </w:rPr>
        <w:fldChar w:fldCharType="begin"/>
      </w:r>
      <w:r>
        <w:rPr>
          <w:rFonts w:eastAsia="仿宋_GB2312"/>
          <w:sz w:val="28"/>
        </w:rPr>
        <w:instrText xml:space="preserve"> PAGEREF _Toc4864 \h </w:instrText>
      </w:r>
      <w:r>
        <w:rPr>
          <w:rFonts w:eastAsia="仿宋_GB2312"/>
          <w:sz w:val="28"/>
        </w:rPr>
        <w:fldChar w:fldCharType="separate"/>
      </w:r>
      <w:r>
        <w:rPr>
          <w:rFonts w:eastAsia="仿宋_GB2312"/>
          <w:sz w:val="28"/>
        </w:rPr>
        <w:t>39</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"_Toc25103" </w:instrText>
      </w:r>
      <w:r>
        <w:fldChar w:fldCharType="separate"/>
      </w:r>
      <w:r>
        <w:rPr>
          <w:rFonts w:ascii="仿宋_GB2312" w:hAnsi="Times New Roman" w:eastAsia="仿宋_GB2312"/>
          <w:sz w:val="28"/>
          <w:szCs w:val="32"/>
        </w:rPr>
        <w:t>4.</w:t>
      </w:r>
      <w:r>
        <w:rPr>
          <w:rFonts w:hint="eastAsia" w:ascii="仿宋_GB2312" w:hAnsi="Times New Roman" w:eastAsia="仿宋_GB2312"/>
          <w:sz w:val="28"/>
          <w:szCs w:val="32"/>
        </w:rPr>
        <w:t>社会效应指标完成情况详细分析</w:t>
      </w:r>
      <w:r>
        <w:rPr>
          <w:rFonts w:eastAsia="仿宋_GB2312"/>
          <w:sz w:val="28"/>
        </w:rPr>
        <w:tab/>
      </w:r>
      <w:r>
        <w:rPr>
          <w:rFonts w:eastAsia="仿宋_GB2312"/>
          <w:sz w:val="28"/>
        </w:rPr>
        <w:fldChar w:fldCharType="begin"/>
      </w:r>
      <w:r>
        <w:rPr>
          <w:rFonts w:eastAsia="仿宋_GB2312"/>
          <w:sz w:val="28"/>
        </w:rPr>
        <w:instrText xml:space="preserve"> PAGEREF _Toc25103 \h </w:instrText>
      </w:r>
      <w:r>
        <w:rPr>
          <w:rFonts w:eastAsia="仿宋_GB2312"/>
          <w:sz w:val="28"/>
        </w:rPr>
        <w:fldChar w:fldCharType="separate"/>
      </w:r>
      <w:r>
        <w:rPr>
          <w:rFonts w:eastAsia="仿宋_GB2312"/>
          <w:sz w:val="28"/>
        </w:rPr>
        <w:t>42</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"_Toc7708" </w:instrText>
      </w:r>
      <w:r>
        <w:fldChar w:fldCharType="separate"/>
      </w:r>
      <w:r>
        <w:rPr>
          <w:rFonts w:ascii="仿宋_GB2312" w:hAnsi="仿宋" w:eastAsia="仿宋_GB2312" w:cs="楷体"/>
          <w:sz w:val="28"/>
          <w:szCs w:val="32"/>
        </w:rPr>
        <w:t>5.</w:t>
      </w:r>
      <w:r>
        <w:rPr>
          <w:rFonts w:hint="eastAsia" w:ascii="仿宋_GB2312" w:hAnsi="仿宋" w:eastAsia="仿宋_GB2312" w:cs="楷体"/>
          <w:sz w:val="28"/>
          <w:szCs w:val="32"/>
        </w:rPr>
        <w:t>可持续发展能力指标完成情况详细分析</w:t>
      </w:r>
      <w:r>
        <w:rPr>
          <w:rFonts w:eastAsia="仿宋_GB2312"/>
          <w:sz w:val="28"/>
        </w:rPr>
        <w:tab/>
      </w:r>
      <w:r>
        <w:rPr>
          <w:rFonts w:eastAsia="仿宋_GB2312"/>
          <w:sz w:val="28"/>
        </w:rPr>
        <w:fldChar w:fldCharType="begin"/>
      </w:r>
      <w:r>
        <w:rPr>
          <w:rFonts w:eastAsia="仿宋_GB2312"/>
          <w:sz w:val="28"/>
        </w:rPr>
        <w:instrText xml:space="preserve"> PAGEREF _Toc7708 \h </w:instrText>
      </w:r>
      <w:r>
        <w:rPr>
          <w:rFonts w:eastAsia="仿宋_GB2312"/>
          <w:sz w:val="28"/>
        </w:rPr>
        <w:fldChar w:fldCharType="separate"/>
      </w:r>
      <w:r>
        <w:rPr>
          <w:rFonts w:eastAsia="仿宋_GB2312"/>
          <w:sz w:val="28"/>
        </w:rPr>
        <w:t>44</w:t>
      </w:r>
      <w:r>
        <w:rPr>
          <w:rFonts w:eastAsia="仿宋_GB2312"/>
          <w:sz w:val="28"/>
        </w:rPr>
        <w:fldChar w:fldCharType="end"/>
      </w:r>
      <w:r>
        <w:rPr>
          <w:rFonts w:eastAsia="仿宋_GB2312"/>
          <w:sz w:val="28"/>
        </w:rPr>
        <w:fldChar w:fldCharType="end"/>
      </w:r>
    </w:p>
    <w:p>
      <w:pPr>
        <w:pStyle w:val="5"/>
        <w:tabs>
          <w:tab w:val="right" w:leader="dot" w:pos="8306"/>
        </w:tabs>
        <w:rPr>
          <w:rFonts w:eastAsia="仿宋_GB2312"/>
          <w:sz w:val="28"/>
        </w:rPr>
      </w:pPr>
      <w:r>
        <w:fldChar w:fldCharType="begin"/>
      </w:r>
      <w:r>
        <w:instrText xml:space="preserve"> HYPERLINK \l "_Toc16058" </w:instrText>
      </w:r>
      <w:r>
        <w:fldChar w:fldCharType="separate"/>
      </w:r>
      <w:r>
        <w:rPr>
          <w:rFonts w:ascii="仿宋_GB2312" w:hAnsi="Times New Roman" w:eastAsia="仿宋_GB2312"/>
          <w:sz w:val="28"/>
          <w:szCs w:val="32"/>
        </w:rPr>
        <w:t>6.</w:t>
      </w:r>
      <w:r>
        <w:rPr>
          <w:rFonts w:hint="eastAsia" w:ascii="仿宋_GB2312" w:hAnsi="Times New Roman" w:eastAsia="仿宋_GB2312"/>
          <w:sz w:val="28"/>
          <w:szCs w:val="32"/>
        </w:rPr>
        <w:t>满意度指标完成情况详细分析</w:t>
      </w:r>
      <w:r>
        <w:rPr>
          <w:rFonts w:eastAsia="仿宋_GB2312"/>
          <w:sz w:val="28"/>
        </w:rPr>
        <w:tab/>
      </w:r>
      <w:r>
        <w:rPr>
          <w:rFonts w:eastAsia="仿宋_GB2312"/>
          <w:sz w:val="28"/>
        </w:rPr>
        <w:fldChar w:fldCharType="begin"/>
      </w:r>
      <w:r>
        <w:rPr>
          <w:rFonts w:eastAsia="仿宋_GB2312"/>
          <w:sz w:val="28"/>
        </w:rPr>
        <w:instrText xml:space="preserve"> PAGEREF _Toc16058 \h </w:instrText>
      </w:r>
      <w:r>
        <w:rPr>
          <w:rFonts w:eastAsia="仿宋_GB2312"/>
          <w:sz w:val="28"/>
        </w:rPr>
        <w:fldChar w:fldCharType="separate"/>
      </w:r>
      <w:r>
        <w:rPr>
          <w:rFonts w:eastAsia="仿宋_GB2312"/>
          <w:sz w:val="28"/>
        </w:rPr>
        <w:t>48</w:t>
      </w:r>
      <w:r>
        <w:rPr>
          <w:rFonts w:eastAsia="仿宋_GB2312"/>
          <w:sz w:val="28"/>
        </w:rPr>
        <w:fldChar w:fldCharType="end"/>
      </w:r>
      <w:r>
        <w:rPr>
          <w:rFonts w:eastAsia="仿宋_GB2312"/>
          <w:sz w:val="28"/>
        </w:rPr>
        <w:fldChar w:fldCharType="end"/>
      </w:r>
    </w:p>
    <w:p>
      <w:pPr>
        <w:pStyle w:val="5"/>
        <w:tabs>
          <w:tab w:val="right" w:leader="dot" w:pos="8306"/>
        </w:tabs>
        <w:rPr>
          <w:sz w:val="28"/>
          <w:szCs w:val="28"/>
        </w:rPr>
      </w:pPr>
      <w:r>
        <w:fldChar w:fldCharType="begin"/>
      </w:r>
      <w:r>
        <w:instrText xml:space="preserve"> HYPERLINK \l "_Toc16058" </w:instrText>
      </w:r>
      <w:r>
        <w:fldChar w:fldCharType="separate"/>
      </w:r>
      <w:r>
        <w:rPr>
          <w:rFonts w:hint="eastAsia" w:ascii="仿宋_GB2312" w:hAnsi="Times New Roman" w:eastAsia="仿宋_GB2312"/>
          <w:sz w:val="28"/>
          <w:szCs w:val="32"/>
          <w:lang w:val="en-US" w:eastAsia="zh-CN"/>
        </w:rPr>
        <w:t>7</w:t>
      </w:r>
      <w:r>
        <w:rPr>
          <w:rFonts w:ascii="仿宋_GB2312" w:hAnsi="Times New Roman" w:eastAsia="仿宋_GB2312"/>
          <w:sz w:val="28"/>
          <w:szCs w:val="32"/>
        </w:rPr>
        <w:t>.</w:t>
      </w:r>
      <w:r>
        <w:rPr>
          <w:rFonts w:hint="eastAsia" w:ascii="仿宋_GB2312" w:hAnsi="Times New Roman" w:eastAsia="仿宋_GB2312"/>
          <w:sz w:val="28"/>
          <w:szCs w:val="32"/>
        </w:rPr>
        <w:t>评价得分与等级</w:t>
      </w:r>
      <w:r>
        <w:rPr>
          <w:rFonts w:eastAsia="仿宋_GB2312"/>
          <w:sz w:val="28"/>
        </w:rPr>
        <w:tab/>
      </w:r>
      <w:r>
        <w:rPr>
          <w:rFonts w:eastAsia="仿宋_GB2312"/>
          <w:sz w:val="28"/>
        </w:rPr>
        <w:fldChar w:fldCharType="begin"/>
      </w:r>
      <w:r>
        <w:rPr>
          <w:rFonts w:eastAsia="仿宋_GB2312"/>
          <w:sz w:val="28"/>
        </w:rPr>
        <w:instrText xml:space="preserve"> PAGEREF _Toc16058 \h </w:instrText>
      </w:r>
      <w:r>
        <w:rPr>
          <w:rFonts w:eastAsia="仿宋_GB2312"/>
          <w:sz w:val="28"/>
        </w:rPr>
        <w:fldChar w:fldCharType="separate"/>
      </w:r>
      <w:r>
        <w:rPr>
          <w:rFonts w:eastAsia="仿宋_GB2312"/>
          <w:sz w:val="28"/>
        </w:rPr>
        <w:t>48</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"_Toc11588" </w:instrText>
      </w:r>
      <w:r>
        <w:fldChar w:fldCharType="separate"/>
      </w:r>
      <w:r>
        <w:rPr>
          <w:rFonts w:hint="eastAsia" w:ascii="楷体_GB2312" w:hAnsi="楷体_GB2312" w:eastAsia="仿宋_GB2312" w:cs="楷体_GB2312"/>
          <w:sz w:val="28"/>
          <w:szCs w:val="32"/>
        </w:rPr>
        <w:t>（四）存在的其他问题和原因</w:t>
      </w:r>
      <w:r>
        <w:rPr>
          <w:rFonts w:eastAsia="仿宋_GB2312"/>
          <w:sz w:val="28"/>
        </w:rPr>
        <w:tab/>
      </w:r>
      <w:r>
        <w:rPr>
          <w:rFonts w:eastAsia="仿宋_GB2312"/>
          <w:sz w:val="28"/>
        </w:rPr>
        <w:fldChar w:fldCharType="begin"/>
      </w:r>
      <w:r>
        <w:rPr>
          <w:rFonts w:eastAsia="仿宋_GB2312"/>
          <w:sz w:val="28"/>
        </w:rPr>
        <w:instrText xml:space="preserve"> PAGEREF _Toc11588 \h </w:instrText>
      </w:r>
      <w:r>
        <w:rPr>
          <w:rFonts w:eastAsia="仿宋_GB2312"/>
          <w:sz w:val="28"/>
        </w:rPr>
        <w:fldChar w:fldCharType="separate"/>
      </w:r>
      <w:r>
        <w:rPr>
          <w:rFonts w:eastAsia="仿宋_GB2312"/>
          <w:sz w:val="28"/>
        </w:rPr>
        <w:t>48</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"_Toc17512" </w:instrText>
      </w:r>
      <w:r>
        <w:fldChar w:fldCharType="separate"/>
      </w:r>
      <w:r>
        <w:rPr>
          <w:rFonts w:hint="eastAsia" w:ascii="楷体_GB2312" w:hAnsi="楷体_GB2312" w:eastAsia="仿宋_GB2312" w:cs="楷体_GB2312"/>
          <w:sz w:val="28"/>
          <w:szCs w:val="32"/>
        </w:rPr>
        <w:t>（五）</w:t>
      </w:r>
      <w:r>
        <w:rPr>
          <w:rFonts w:hint="eastAsia" w:ascii="楷体_GB2312" w:hAnsi="楷体_GB2312" w:eastAsia="仿宋_GB2312" w:cs="楷体_GB2312"/>
          <w:bCs/>
          <w:sz w:val="28"/>
          <w:szCs w:val="32"/>
        </w:rPr>
        <w:t>评价工作与评价报告其他需说明的问题</w:t>
      </w:r>
      <w:r>
        <w:rPr>
          <w:rFonts w:eastAsia="仿宋_GB2312"/>
          <w:sz w:val="28"/>
        </w:rPr>
        <w:tab/>
      </w:r>
      <w:r>
        <w:rPr>
          <w:rFonts w:eastAsia="仿宋_GB2312"/>
          <w:sz w:val="28"/>
        </w:rPr>
        <w:fldChar w:fldCharType="begin"/>
      </w:r>
      <w:r>
        <w:rPr>
          <w:rFonts w:eastAsia="仿宋_GB2312"/>
          <w:sz w:val="28"/>
        </w:rPr>
        <w:instrText xml:space="preserve"> PAGEREF _Toc17512 \h </w:instrText>
      </w:r>
      <w:r>
        <w:rPr>
          <w:rFonts w:eastAsia="仿宋_GB2312"/>
          <w:sz w:val="28"/>
        </w:rPr>
        <w:fldChar w:fldCharType="separate"/>
      </w:r>
      <w:r>
        <w:rPr>
          <w:rFonts w:eastAsia="仿宋_GB2312"/>
          <w:sz w:val="28"/>
        </w:rPr>
        <w:t>49</w:t>
      </w:r>
      <w:r>
        <w:rPr>
          <w:rFonts w:eastAsia="仿宋_GB2312"/>
          <w:sz w:val="28"/>
        </w:rPr>
        <w:fldChar w:fldCharType="end"/>
      </w:r>
      <w:r>
        <w:rPr>
          <w:rFonts w:eastAsia="仿宋_GB2312"/>
          <w:sz w:val="28"/>
        </w:rPr>
        <w:fldChar w:fldCharType="end"/>
      </w:r>
    </w:p>
    <w:p>
      <w:pPr>
        <w:pStyle w:val="9"/>
        <w:tabs>
          <w:tab w:val="right" w:leader="dot" w:pos="8306"/>
        </w:tabs>
        <w:rPr>
          <w:rFonts w:eastAsia="仿宋_GB2312"/>
          <w:sz w:val="28"/>
        </w:rPr>
      </w:pPr>
      <w:r>
        <w:fldChar w:fldCharType="begin"/>
      </w:r>
      <w:r>
        <w:instrText xml:space="preserve"> HYPERLINK \l "_Toc6882" </w:instrText>
      </w:r>
      <w:r>
        <w:fldChar w:fldCharType="separate"/>
      </w:r>
      <w:r>
        <w:rPr>
          <w:rFonts w:hint="eastAsia" w:ascii="楷体_GB2312" w:hAnsi="楷体_GB2312" w:eastAsia="仿宋_GB2312" w:cs="楷体_GB2312"/>
          <w:sz w:val="28"/>
          <w:szCs w:val="32"/>
        </w:rPr>
        <w:t>（六）其他佐证材料</w:t>
      </w:r>
      <w:r>
        <w:rPr>
          <w:rFonts w:eastAsia="仿宋_GB2312"/>
          <w:sz w:val="28"/>
        </w:rPr>
        <w:tab/>
      </w:r>
      <w:r>
        <w:rPr>
          <w:rFonts w:eastAsia="仿宋_GB2312"/>
          <w:sz w:val="28"/>
        </w:rPr>
        <w:fldChar w:fldCharType="begin"/>
      </w:r>
      <w:r>
        <w:rPr>
          <w:rFonts w:eastAsia="仿宋_GB2312"/>
          <w:sz w:val="28"/>
        </w:rPr>
        <w:instrText xml:space="preserve"> PAGEREF _Toc6882 \h </w:instrText>
      </w:r>
      <w:r>
        <w:rPr>
          <w:rFonts w:eastAsia="仿宋_GB2312"/>
          <w:sz w:val="28"/>
        </w:rPr>
        <w:fldChar w:fldCharType="separate"/>
      </w:r>
      <w:r>
        <w:rPr>
          <w:rFonts w:eastAsia="仿宋_GB2312"/>
          <w:sz w:val="28"/>
        </w:rPr>
        <w:t>50</w:t>
      </w:r>
      <w:r>
        <w:rPr>
          <w:rFonts w:eastAsia="仿宋_GB2312"/>
          <w:sz w:val="28"/>
        </w:rPr>
        <w:fldChar w:fldCharType="end"/>
      </w:r>
      <w:r>
        <w:rPr>
          <w:rFonts w:eastAsia="仿宋_GB2312"/>
          <w:sz w:val="28"/>
        </w:rPr>
        <w:fldChar w:fldCharType="end"/>
      </w:r>
    </w:p>
    <w:p>
      <w:pPr>
        <w:rPr>
          <w:rFonts w:ascii="仿宋_GB2312" w:hAnsi="仿宋_GB2312" w:eastAsia="仿宋_GB2312" w:cs="仿宋_GB2312"/>
          <w:sz w:val="28"/>
          <w:szCs w:val="30"/>
        </w:rPr>
        <w:sectPr>
          <w:headerReference r:id="rId3" w:type="first"/>
          <w:footerReference r:id="rId6" w:type="first"/>
          <w:footerReference r:id="rId4" w:type="default"/>
          <w:footerReference r:id="rId5" w:type="even"/>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30"/>
        </w:rPr>
        <w:fldChar w:fldCharType="end"/>
      </w:r>
      <w:bookmarkStart w:id="80" w:name="_GoBack"/>
      <w:bookmarkEnd w:id="80"/>
    </w:p>
    <w:p>
      <w:pPr>
        <w:spacing w:line="560" w:lineRule="exact"/>
        <w:jc w:val="center"/>
        <w:rPr>
          <w:rFonts w:ascii="方正小标宋简体" w:hAnsi="方正小标宋简体" w:eastAsia="方正小标宋简体" w:cs="楷体"/>
          <w:bCs/>
          <w:smallCaps/>
          <w:sz w:val="40"/>
          <w:szCs w:val="40"/>
        </w:rPr>
      </w:pPr>
      <w:r>
        <w:rPr>
          <w:rFonts w:hint="eastAsia" w:ascii="方正小标宋简体" w:hAnsi="方正小标宋简体" w:eastAsia="方正小标宋简体" w:cs="楷体"/>
          <w:bCs/>
          <w:smallCaps/>
          <w:sz w:val="40"/>
          <w:szCs w:val="40"/>
        </w:rPr>
        <w:t>通城县北港镇人民政府2022年度部门</w:t>
      </w:r>
    </w:p>
    <w:p>
      <w:pPr>
        <w:spacing w:line="560" w:lineRule="exact"/>
        <w:jc w:val="center"/>
        <w:rPr>
          <w:rFonts w:ascii="方正小标宋简体" w:hAnsi="方正小标宋简体" w:eastAsia="方正小标宋简体" w:cs="楷体"/>
          <w:bCs/>
          <w:smallCaps/>
          <w:sz w:val="40"/>
          <w:szCs w:val="40"/>
        </w:rPr>
      </w:pPr>
      <w:r>
        <w:rPr>
          <w:rFonts w:hint="eastAsia" w:ascii="方正小标宋简体" w:hAnsi="方正小标宋简体" w:eastAsia="方正小标宋简体" w:cs="楷体"/>
          <w:bCs/>
          <w:smallCaps/>
          <w:sz w:val="40"/>
          <w:szCs w:val="40"/>
        </w:rPr>
        <w:t>整体绩效评价报告</w:t>
      </w:r>
    </w:p>
    <w:p>
      <w:pPr>
        <w:spacing w:line="560" w:lineRule="exact"/>
        <w:ind w:firstLine="3534" w:firstLineChars="1100"/>
        <w:rPr>
          <w:rFonts w:ascii="楷体_GB2312" w:hAnsi="楷体" w:eastAsia="楷体_GB2312" w:cs="楷体"/>
          <w:b/>
          <w:bCs/>
          <w:sz w:val="32"/>
          <w:szCs w:val="32"/>
        </w:rPr>
      </w:pPr>
      <w:r>
        <w:rPr>
          <w:rFonts w:hint="eastAsia" w:ascii="楷体_GB2312" w:hAnsi="楷体" w:eastAsia="楷体_GB2312" w:cs="楷体"/>
          <w:b/>
          <w:bCs/>
          <w:sz w:val="32"/>
          <w:szCs w:val="32"/>
        </w:rPr>
        <w:t>（缩略版）</w:t>
      </w:r>
    </w:p>
    <w:p>
      <w:pPr>
        <w:spacing w:line="360" w:lineRule="auto"/>
        <w:rPr>
          <w:rFonts w:ascii="Times New Roman" w:hAnsi="Times New Roman" w:eastAsia="仿宋_GB2312"/>
          <w:sz w:val="32"/>
          <w:szCs w:val="32"/>
        </w:rPr>
      </w:pPr>
    </w:p>
    <w:p>
      <w:pPr>
        <w:spacing w:line="560" w:lineRule="exact"/>
        <w:ind w:firstLine="640" w:firstLineChars="200"/>
        <w:outlineLvl w:val="0"/>
        <w:rPr>
          <w:rFonts w:ascii="黑体" w:hAnsi="黑体" w:eastAsia="黑体" w:cs="黑体"/>
          <w:sz w:val="32"/>
          <w:szCs w:val="32"/>
        </w:rPr>
      </w:pPr>
      <w:bookmarkStart w:id="0" w:name="_Toc28635"/>
      <w:r>
        <w:rPr>
          <w:rFonts w:hint="eastAsia" w:ascii="黑体" w:hAnsi="黑体" w:eastAsia="黑体" w:cs="黑体"/>
          <w:sz w:val="32"/>
          <w:szCs w:val="32"/>
        </w:rPr>
        <w:t>一、评价结论</w:t>
      </w:r>
      <w:bookmarkEnd w:id="0"/>
    </w:p>
    <w:p>
      <w:pPr>
        <w:spacing w:line="560" w:lineRule="exact"/>
        <w:ind w:firstLine="640" w:firstLineChars="200"/>
        <w:outlineLvl w:val="1"/>
        <w:rPr>
          <w:rFonts w:ascii="楷体_GB2312" w:hAnsi="楷体_GB2312" w:eastAsia="楷体_GB2312" w:cs="楷体_GB2312"/>
          <w:sz w:val="32"/>
          <w:szCs w:val="32"/>
        </w:rPr>
      </w:pPr>
      <w:bookmarkStart w:id="1" w:name="_Toc5237"/>
      <w:r>
        <w:rPr>
          <w:rFonts w:hint="eastAsia" w:ascii="楷体_GB2312" w:hAnsi="楷体_GB2312" w:eastAsia="楷体_GB2312" w:cs="楷体_GB2312"/>
          <w:sz w:val="32"/>
          <w:szCs w:val="32"/>
        </w:rPr>
        <w:t>（一）绩效评价分数和等级</w:t>
      </w:r>
      <w:bookmarkEnd w:id="1"/>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通城县北港镇人民政府2022年部门整体支出绩效评价指标总分100分，综合评价得分89.81分，评价等级为“</w:t>
      </w:r>
      <w:r>
        <w:rPr>
          <w:rFonts w:hint="eastAsia" w:ascii="仿宋_GB2312" w:hAnsi="Times New Roman" w:eastAsia="仿宋_GB2312"/>
          <w:b/>
          <w:sz w:val="32"/>
          <w:szCs w:val="32"/>
        </w:rPr>
        <w:t>良</w:t>
      </w:r>
      <w:r>
        <w:rPr>
          <w:rFonts w:hint="eastAsia" w:ascii="仿宋_GB2312" w:hAnsi="Times New Roman" w:eastAsia="仿宋_GB2312"/>
          <w:sz w:val="32"/>
          <w:szCs w:val="32"/>
        </w:rPr>
        <w:t>”。</w:t>
      </w:r>
    </w:p>
    <w:p>
      <w:pPr>
        <w:spacing w:line="560" w:lineRule="exact"/>
        <w:ind w:firstLine="2409" w:firstLineChars="800"/>
        <w:rPr>
          <w:rFonts w:ascii="宋体" w:hAnsi="宋体" w:cs="宋体"/>
          <w:b/>
          <w:sz w:val="30"/>
          <w:szCs w:val="30"/>
        </w:rPr>
      </w:pPr>
      <w:r>
        <w:rPr>
          <w:rFonts w:hint="eastAsia" w:ascii="宋体" w:hAnsi="宋体" w:cs="宋体"/>
          <w:b/>
          <w:sz w:val="30"/>
          <w:szCs w:val="30"/>
        </w:rPr>
        <w:t>绩效指标评价得分及等级表</w:t>
      </w:r>
    </w:p>
    <w:tbl>
      <w:tblPr>
        <w:tblStyle w:val="10"/>
        <w:tblW w:w="8364" w:type="dxa"/>
        <w:jc w:val="center"/>
        <w:tblLayout w:type="fixed"/>
        <w:tblCellMar>
          <w:top w:w="15" w:type="dxa"/>
          <w:left w:w="15" w:type="dxa"/>
          <w:bottom w:w="15" w:type="dxa"/>
          <w:right w:w="15" w:type="dxa"/>
        </w:tblCellMar>
      </w:tblPr>
      <w:tblGrid>
        <w:gridCol w:w="2410"/>
        <w:gridCol w:w="1985"/>
        <w:gridCol w:w="1984"/>
        <w:gridCol w:w="1985"/>
      </w:tblGrid>
      <w:tr>
        <w:tblPrEx>
          <w:tblCellMar>
            <w:top w:w="15" w:type="dxa"/>
            <w:left w:w="15" w:type="dxa"/>
            <w:bottom w:w="15" w:type="dxa"/>
            <w:right w:w="15" w:type="dxa"/>
          </w:tblCellMar>
        </w:tblPrEx>
        <w:trPr>
          <w:trHeight w:val="598"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标准分值</w:t>
            </w:r>
          </w:p>
        </w:tc>
        <w:tc>
          <w:tcPr>
            <w:tcW w:w="198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评价得分</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评价等级</w:t>
            </w:r>
          </w:p>
        </w:tc>
      </w:tr>
      <w:tr>
        <w:tblPrEx>
          <w:tblCellMar>
            <w:top w:w="15" w:type="dxa"/>
            <w:left w:w="15" w:type="dxa"/>
            <w:bottom w:w="15" w:type="dxa"/>
            <w:right w:w="15" w:type="dxa"/>
          </w:tblCellMar>
        </w:tblPrEx>
        <w:trPr>
          <w:trHeight w:val="380"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运行成本</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7.41</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4"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管理效率</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22</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16.9</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中</w:t>
            </w:r>
          </w:p>
        </w:tc>
      </w:tr>
      <w:tr>
        <w:tblPrEx>
          <w:tblCellMar>
            <w:top w:w="15" w:type="dxa"/>
            <w:left w:w="15" w:type="dxa"/>
            <w:bottom w:w="15" w:type="dxa"/>
            <w:right w:w="15" w:type="dxa"/>
          </w:tblCellMar>
        </w:tblPrEx>
        <w:trPr>
          <w:trHeight w:val="401"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履职效能</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26</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良</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社会效应</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30</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rPr>
              <w:t>可持续发展能力</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6</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5.5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服务对象满意度</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375"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100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89.81</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良</w:t>
            </w:r>
          </w:p>
        </w:tc>
      </w:tr>
    </w:tbl>
    <w:p>
      <w:pPr>
        <w:spacing w:line="560" w:lineRule="exact"/>
        <w:ind w:firstLine="640" w:firstLineChars="200"/>
        <w:outlineLvl w:val="1"/>
        <w:rPr>
          <w:rFonts w:ascii="楷体_GB2312" w:hAnsi="楷体_GB2312" w:eastAsia="楷体_GB2312" w:cs="楷体_GB2312"/>
          <w:sz w:val="32"/>
          <w:szCs w:val="32"/>
        </w:rPr>
      </w:pPr>
      <w:bookmarkStart w:id="2" w:name="_Toc22438"/>
      <w:r>
        <w:rPr>
          <w:rFonts w:hint="eastAsia" w:ascii="楷体_GB2312" w:hAnsi="楷体_GB2312" w:eastAsia="楷体_GB2312" w:cs="楷体_GB2312"/>
          <w:sz w:val="32"/>
          <w:szCs w:val="32"/>
        </w:rPr>
        <w:t>（二）绩效评价指标情况</w:t>
      </w:r>
      <w:bookmarkEnd w:id="2"/>
    </w:p>
    <w:p>
      <w:pPr>
        <w:spacing w:line="560" w:lineRule="exact"/>
        <w:ind w:firstLine="643" w:firstLineChars="200"/>
        <w:rPr>
          <w:rFonts w:ascii="仿宋_GB2312" w:hAnsi="仿宋" w:eastAsia="仿宋_GB2312"/>
          <w:b/>
          <w:sz w:val="32"/>
          <w:szCs w:val="32"/>
        </w:rPr>
      </w:pPr>
      <w:r>
        <w:rPr>
          <w:rFonts w:hint="eastAsia" w:ascii="仿宋_GB2312" w:hAnsi="Times New Roman" w:eastAsia="仿宋_GB2312"/>
          <w:b/>
          <w:sz w:val="32"/>
          <w:szCs w:val="32"/>
        </w:rPr>
        <w:t>1.从运行成本、管理效率、履职效能、社会效应、可持续发展能力和满意度六大维度进行分析，各项指标得分及扣分点如下：</w:t>
      </w:r>
    </w:p>
    <w:p>
      <w:pPr>
        <w:spacing w:line="560" w:lineRule="exact"/>
        <w:ind w:firstLine="643" w:firstLineChars="200"/>
        <w:rPr>
          <w:rFonts w:ascii="仿宋_GB2312" w:hAnsi="Times New Roman" w:eastAsia="仿宋_GB2312"/>
          <w:sz w:val="32"/>
          <w:szCs w:val="32"/>
        </w:rPr>
      </w:pPr>
      <w:r>
        <w:rPr>
          <w:rFonts w:hint="eastAsia" w:ascii="仿宋_GB2312" w:hAnsi="仿宋" w:eastAsia="仿宋_GB2312"/>
          <w:b/>
          <w:sz w:val="32"/>
          <w:szCs w:val="32"/>
        </w:rPr>
        <w:t>（1）运行成本。</w:t>
      </w:r>
      <w:r>
        <w:rPr>
          <w:rFonts w:hint="eastAsia" w:ascii="仿宋_GB2312" w:hAnsi="仿宋" w:eastAsia="仿宋_GB2312"/>
          <w:sz w:val="32"/>
          <w:szCs w:val="32"/>
        </w:rPr>
        <w:t>权重8分，得分7.41分，扣分0.59分。该镇认真贯彻落实中央“八项规定”，坚持“规范管理、厉行节约、科学预算”的原则，大力压缩一般性行政支出,公用经费、会议费、“三公”经费执行较好，控制在预算之内。主要扣分点在于:在职人员超过了核定的编</w:t>
      </w:r>
      <w:r>
        <w:rPr>
          <w:rFonts w:hint="eastAsia" w:ascii="仿宋_GB2312" w:hAnsi="Times New Roman" w:eastAsia="仿宋_GB2312"/>
          <w:sz w:val="32"/>
          <w:szCs w:val="32"/>
        </w:rPr>
        <w:t>制数，在职人员控制率指标超标。</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（2）管理效率。</w:t>
      </w:r>
      <w:r>
        <w:rPr>
          <w:rFonts w:hint="eastAsia" w:ascii="仿宋_GB2312" w:hAnsi="Times New Roman" w:eastAsia="仿宋_GB2312"/>
          <w:sz w:val="32"/>
          <w:szCs w:val="32"/>
        </w:rPr>
        <w:t>权重22分，得分16.9分，扣分5.1分。该镇各项管理制度较为健全，制定有财务管理制度、国有资产业务管理制度、绩效管理制度、政府采购内部控制制度，并将这些制度汇编成册，要求各部门认真执行。国有资产管理比较规范，做到了账实相符。主要扣分点在于：</w:t>
      </w:r>
      <w:r>
        <w:rPr>
          <w:rFonts w:hint="eastAsia" w:ascii="仿宋_GB2312" w:hAnsi="仿宋" w:eastAsia="仿宋_GB2312"/>
          <w:sz w:val="32"/>
          <w:szCs w:val="32"/>
        </w:rPr>
        <w:t>一是部门预算编制不够准确，调整预算数与年初预算数相比变动率较大；二项目支出未设置绩效目标，资金使用效益不可衡量；三是财务管理制度未有效执行，存在报账审核把关不严等情况。</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（3）履职效能。</w:t>
      </w:r>
      <w:r>
        <w:rPr>
          <w:rFonts w:hint="eastAsia" w:ascii="仿宋_GB2312" w:hAnsi="Times New Roman" w:eastAsia="仿宋_GB2312"/>
          <w:sz w:val="32"/>
          <w:szCs w:val="32"/>
        </w:rPr>
        <w:t>权重30分，得分26分，扣分4分。2022年县委、县政府布置的重点工作任务全面完成，该镇经济发展、社会治理、民生工程、生态环境、共同缔造、常态化疫情防控、巩固拓展脱贫攻坚成果同乡村振兴有效衔接考核评估反馈问题挂牌督办整改任务完成较好。主要扣分点在于：促进经济复苏、加强资产收益管理方面有差距，履职效能仍有提升空间。</w:t>
      </w:r>
    </w:p>
    <w:p>
      <w:pPr>
        <w:spacing w:line="560" w:lineRule="exact"/>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（4）社会效应。</w:t>
      </w:r>
      <w:r>
        <w:rPr>
          <w:rFonts w:hint="eastAsia" w:ascii="仿宋_GB2312" w:hAnsi="Times New Roman" w:eastAsia="仿宋_GB2312"/>
          <w:sz w:val="32"/>
          <w:szCs w:val="32"/>
        </w:rPr>
        <w:t>权重30分，得分30分。社会效益方面有三个方面的亮点；一是全面加强社会综合治理，平安维稳工作成效明显，该镇和12个村综治中心规范化建设全部达标；二是加强生态文明建设，取得了良好的社会效应。三是持续改善人居环境，建立了环境卫生保洁长效机制。</w:t>
      </w:r>
      <w:r>
        <w:rPr>
          <w:rFonts w:hint="eastAsia" w:ascii="仿宋_GB2312" w:hAnsi="Times New Roman" w:eastAsia="仿宋_GB2312"/>
          <w:b/>
          <w:sz w:val="32"/>
          <w:szCs w:val="32"/>
        </w:rPr>
        <w:t>2022年，该镇龙门村被湖北省绿化委员会、湖北省林业局命名为“湖北省森林乡村”、被湖北省财政厅评为“全省美丽乡村典型示范村”；该镇横冲村被咸宁市农业农村局、市乡村振兴局列入2022年乡村振兴示范村创建名单。</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（5）可持续发展能力。</w:t>
      </w:r>
      <w:r>
        <w:rPr>
          <w:rFonts w:hint="eastAsia" w:ascii="仿宋_GB2312" w:hAnsi="Times New Roman" w:eastAsia="仿宋_GB2312"/>
          <w:sz w:val="32"/>
          <w:szCs w:val="32"/>
        </w:rPr>
        <w:t>权重6分，得分5.5分，扣分0.5分。2022年，北港镇党委以常规巡察问题整改为契机，全面加强党的建设和干部队伍建设，完善《党建工作目标考核细则》，集中开展政治理论、政策法规、财经纪律等方面的培训，机关干部依法行政、依规履职的能力明显提升。主要扣分点：北港镇政府公务员队伍高学历人才占比不够，仅为50%。</w:t>
      </w:r>
    </w:p>
    <w:p>
      <w:pPr>
        <w:spacing w:line="560" w:lineRule="exact"/>
        <w:ind w:firstLine="643" w:firstLineChars="200"/>
        <w:rPr>
          <w:rFonts w:ascii="仿宋_GB2312" w:hAnsi="Times New Roman" w:eastAsia="仿宋_GB2312"/>
          <w:sz w:val="32"/>
          <w:szCs w:val="32"/>
        </w:rPr>
      </w:pPr>
      <w:r>
        <w:rPr>
          <w:rFonts w:hint="eastAsia" w:ascii="仿宋_GB2312" w:hAnsi="Times New Roman" w:eastAsia="仿宋_GB2312"/>
          <w:b/>
          <w:sz w:val="32"/>
          <w:szCs w:val="32"/>
        </w:rPr>
        <w:t>（6）满意度。</w:t>
      </w:r>
      <w:r>
        <w:rPr>
          <w:rFonts w:hint="eastAsia" w:ascii="仿宋_GB2312" w:hAnsi="Times New Roman" w:eastAsia="仿宋_GB2312"/>
          <w:sz w:val="32"/>
          <w:szCs w:val="32"/>
        </w:rPr>
        <w:t>权重4分，得分4分。绩效评价工作组通过发放政府机关干部问卷调查，社区群众对政府工作满意度测评，政府机关干部认可度、社区群众对政府工作满意度达95%以上。</w:t>
      </w:r>
    </w:p>
    <w:p>
      <w:pPr>
        <w:spacing w:line="560" w:lineRule="exact"/>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2.从绩效创新型指标维度，简要分析创新型指标的占比。</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创新型指标方面，绩效指标体系共设置3级指标41个，其中创新型指标7个，占比17.07%，满足三级指标中的绩效创新型指标应当按照不低于三级指标总数的10%设定的要求。</w:t>
      </w:r>
    </w:p>
    <w:p>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创新型指标权重6分，北港镇得分5.5分，扣分0.5分。2022年，该镇党委以建党100周年为契机，全面加强党的建设和干部队伍建设，集中开展党建业务、政策法规、财经纪律、乡村振兴等方面的培训学习，机关干部依法行政、依规履职的能力明显提升。主要扣分点在于：该镇高学历、高层次人才储备率偏低。</w:t>
      </w:r>
    </w:p>
    <w:p>
      <w:pPr>
        <w:spacing w:line="560" w:lineRule="exact"/>
        <w:ind w:firstLine="640" w:firstLineChars="200"/>
        <w:outlineLvl w:val="1"/>
        <w:rPr>
          <w:rFonts w:ascii="楷体_GB2312" w:hAnsi="楷体_GB2312" w:eastAsia="楷体_GB2312" w:cs="楷体_GB2312"/>
          <w:sz w:val="32"/>
          <w:szCs w:val="32"/>
        </w:rPr>
      </w:pPr>
      <w:bookmarkStart w:id="3" w:name="_Toc7429"/>
      <w:r>
        <w:rPr>
          <w:rFonts w:hint="eastAsia" w:ascii="楷体_GB2312" w:hAnsi="楷体_GB2312" w:eastAsia="楷体_GB2312" w:cs="楷体_GB2312"/>
          <w:sz w:val="32"/>
          <w:szCs w:val="32"/>
        </w:rPr>
        <w:t>（三）以前年度结果应用情况</w:t>
      </w:r>
      <w:bookmarkEnd w:id="3"/>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该项目以前年度未开展第三方绩效评价工作，尚无结果应用情况。</w:t>
      </w:r>
    </w:p>
    <w:p>
      <w:pPr>
        <w:spacing w:line="560" w:lineRule="exact"/>
        <w:ind w:firstLine="640" w:firstLineChars="200"/>
        <w:outlineLvl w:val="1"/>
        <w:rPr>
          <w:rFonts w:ascii="楷体_GB2312" w:hAnsi="楷体_GB2312" w:eastAsia="楷体_GB2312" w:cs="楷体_GB2312"/>
          <w:sz w:val="32"/>
          <w:szCs w:val="32"/>
        </w:rPr>
      </w:pPr>
      <w:bookmarkStart w:id="4" w:name="_Toc31301"/>
      <w:r>
        <w:rPr>
          <w:rFonts w:hint="eastAsia" w:ascii="楷体_GB2312" w:hAnsi="楷体_GB2312" w:eastAsia="楷体_GB2312" w:cs="楷体_GB2312"/>
          <w:sz w:val="32"/>
          <w:szCs w:val="32"/>
        </w:rPr>
        <w:t>（四）主要成效、存在的突出问题和原因</w:t>
      </w:r>
      <w:bookmarkEnd w:id="4"/>
    </w:p>
    <w:p>
      <w:pPr>
        <w:spacing w:line="560" w:lineRule="exact"/>
        <w:ind w:firstLine="640" w:firstLineChars="200"/>
        <w:rPr>
          <w:rFonts w:ascii="仿宋_GB2312" w:hAnsi="Times New Roman" w:eastAsia="仿宋_GB2312"/>
          <w:sz w:val="32"/>
          <w:szCs w:val="32"/>
        </w:rPr>
      </w:pPr>
      <w:r>
        <w:rPr>
          <w:rFonts w:hint="eastAsia" w:ascii="仿宋_GB2312" w:hAnsi="仿宋_GB2312" w:eastAsia="仿宋_GB2312" w:cs="仿宋_GB2312"/>
          <w:sz w:val="32"/>
          <w:szCs w:val="32"/>
        </w:rPr>
        <w:t>包括核实和评述以前年度结果应用情况，列举本年度本部门</w:t>
      </w:r>
      <w:r>
        <w:rPr>
          <w:rFonts w:hint="eastAsia" w:ascii="仿宋_GB2312" w:hAnsi="Times New Roman" w:eastAsia="仿宋_GB2312"/>
          <w:sz w:val="32"/>
          <w:szCs w:val="32"/>
        </w:rPr>
        <w:t>主要成效、绩效存在的突出问题和原因。</w:t>
      </w:r>
    </w:p>
    <w:p>
      <w:pPr>
        <w:numPr>
          <w:ilvl w:val="0"/>
          <w:numId w:val="1"/>
        </w:numPr>
        <w:spacing w:line="560" w:lineRule="exact"/>
        <w:rPr>
          <w:rFonts w:ascii="仿宋_GB2312" w:hAnsi="Times New Roman" w:eastAsia="仿宋_GB2312"/>
          <w:b/>
          <w:sz w:val="32"/>
          <w:szCs w:val="32"/>
        </w:rPr>
      </w:pPr>
      <w:r>
        <w:rPr>
          <w:rFonts w:hint="eastAsia" w:ascii="仿宋_GB2312" w:hAnsi="Times New Roman" w:eastAsia="仿宋_GB2312"/>
          <w:b/>
          <w:sz w:val="32"/>
          <w:szCs w:val="32"/>
        </w:rPr>
        <w:t>主要成效</w:t>
      </w:r>
    </w:p>
    <w:p>
      <w:pPr>
        <w:spacing w:line="560" w:lineRule="exact"/>
        <w:ind w:firstLine="640" w:firstLineChars="200"/>
        <w:rPr>
          <w:rFonts w:ascii="仿宋_GB2312" w:hAnsi="Times New Roman" w:eastAsia="仿宋_GB2312"/>
          <w:b/>
          <w:sz w:val="32"/>
          <w:szCs w:val="32"/>
        </w:rPr>
      </w:pPr>
      <w:r>
        <w:rPr>
          <w:rFonts w:hint="eastAsia" w:ascii="仿宋_GB2312" w:hAnsi="Times New Roman" w:eastAsia="仿宋_GB2312"/>
          <w:sz w:val="32"/>
          <w:szCs w:val="32"/>
        </w:rPr>
        <w:t>2022年，面对疫情持续冲击、经济承压下行、极端高温特大干旱等严峻考验，面对国家巩固拓展脱贫攻坚成果同乡村振兴有效衔接考核评估反馈问题挂牌督办整改等艰巨任务，该镇紧紧围绕“党建强镇、工业重镇、边贸名镇、粮酒小镇、生态靓镇、文明新镇”的发展思路和富强、和谐、文明、秀美、创新、开放“六个北港”的建设目标，不断提升综合实力。一是重点抓好国家巩固拓展脱贫攻坚成果同乡村振兴有效衔接考核评估反馈问题挂牌督办整改。以产业帮扶为重点，建立联农带农长效机制，2022年，新发展油茶311.4亩，中药材600亩，改造标准化茶园250亩；脱贫户、监测户人均纯收入1.55万元，同比增长19.19%。二是支持实体经济发展，经济结构持续优化。充分发挥商贸物流优势，大力推进粮酒小镇建设；努力发展夜市经济，北港烧烤网红店享誉周边县市；庄前、长青产业园、绿康种业发展势头强劲；居民存款大幅增加，北港镇农商行、邮政银行年末存款突破5亿，位居全县乡镇第二名。三是创新“公司+农户”模式，成立“湖北农田灭荒农业科技有限公司”，对该镇4,000多亩抛荒地实行规模化流转、机械化作业、科技化应用、精细化管理，2022年3月公司与近千农户签订农田流转协议，农田灭荒4,000余亩</w:t>
      </w:r>
      <w:r>
        <w:rPr>
          <w:rFonts w:hint="eastAsia" w:ascii="仿宋_GB2312" w:hAnsi="Times New Roman" w:eastAsia="仿宋_GB2312"/>
          <w:b/>
          <w:sz w:val="32"/>
          <w:szCs w:val="32"/>
        </w:rPr>
        <w:t>。</w:t>
      </w:r>
      <w:r>
        <w:rPr>
          <w:rFonts w:hint="eastAsia" w:ascii="仿宋_GB2312" w:hAnsi="Times New Roman" w:eastAsia="仿宋_GB2312"/>
          <w:sz w:val="32"/>
          <w:szCs w:val="32"/>
        </w:rPr>
        <w:t>7月27日，</w:t>
      </w:r>
      <w:r>
        <w:rPr>
          <w:rFonts w:hint="eastAsia" w:ascii="仿宋_GB2312" w:hAnsi="Times New Roman" w:eastAsia="仿宋_GB2312"/>
          <w:b/>
          <w:sz w:val="32"/>
          <w:szCs w:val="32"/>
        </w:rPr>
        <w:t>省政府副省长杨云彦对省政府办公厅第七期《决策调研》“如何让摞荒地'活’起来的调研与思考”上作出批示：“在全省推广北港镇农田灭荒工作经验”。</w:t>
      </w:r>
    </w:p>
    <w:p>
      <w:pPr>
        <w:numPr>
          <w:ilvl w:val="0"/>
          <w:numId w:val="1"/>
        </w:numPr>
        <w:spacing w:line="560" w:lineRule="exact"/>
        <w:rPr>
          <w:rFonts w:ascii="仿宋_GB2312" w:hAnsi="Times New Roman" w:eastAsia="仿宋_GB2312"/>
          <w:sz w:val="32"/>
          <w:szCs w:val="32"/>
        </w:rPr>
      </w:pPr>
      <w:r>
        <w:rPr>
          <w:rFonts w:hint="eastAsia" w:ascii="仿宋_GB2312" w:hAnsi="Times New Roman" w:eastAsia="仿宋_GB2312"/>
          <w:sz w:val="32"/>
          <w:szCs w:val="32"/>
        </w:rPr>
        <w:t>存在的突出问题和原因</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(1)部门预算编制和执行不够严谨。</w:t>
      </w:r>
      <w:r>
        <w:rPr>
          <w:rFonts w:hint="eastAsia" w:ascii="仿宋_GB2312" w:hAnsi="仿宋_GB2312" w:eastAsia="仿宋_GB2312" w:cs="仿宋_GB2312"/>
          <w:sz w:val="32"/>
          <w:szCs w:val="32"/>
        </w:rPr>
        <w:t>一是部门预算编制不够准确精细, 在预算执行过程中调整比例较大，特别是基本预算编制与实际使用差距较大,部门预算的编制和执行不严谨；同时预算调整未申报批复。政府预算资金调整未见申报办理程序资料，预算资金安排和使用随意性较大。</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(2)财务管理基础工作不够规范。</w:t>
      </w:r>
      <w:r>
        <w:rPr>
          <w:rFonts w:hint="eastAsia" w:ascii="仿宋_GB2312" w:hAnsi="仿宋_GB2312" w:eastAsia="仿宋_GB2312" w:cs="仿宋_GB2312"/>
          <w:sz w:val="32"/>
          <w:szCs w:val="32"/>
        </w:rPr>
        <w:t>一是报账不规范，缺少原始单据或费用报销单据不规范仍报销。出现公务接待用餐人数与公务接待函上显示人数不一致、接待用餐超标准、接待时间逻辑错误等情况。二是合同管理不规范，存在未签订合同或合同权利义务方相颠倒的情况；政府租车费租车协议结算方式约定不明，无具体标准。三是固定资产采购程序不规范，存在未见采购申请、合同、议价或者三方询价程序情况，部分资产采购备案超期且采购内容与实物不一致。</w:t>
      </w:r>
    </w:p>
    <w:p>
      <w:pPr>
        <w:spacing w:line="56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3</w:t>
      </w:r>
      <w:r>
        <w:rPr>
          <w:rFonts w:ascii="仿宋_GB2312" w:hAnsi="仿宋_GB2312" w:eastAsia="仿宋_GB2312" w:cs="仿宋_GB2312"/>
          <w:b/>
          <w:sz w:val="32"/>
          <w:szCs w:val="32"/>
        </w:rPr>
        <w:t>)</w:t>
      </w:r>
      <w:r>
        <w:rPr>
          <w:rFonts w:hint="eastAsia"/>
          <w:b/>
        </w:rPr>
        <w:t xml:space="preserve"> </w:t>
      </w:r>
      <w:r>
        <w:rPr>
          <w:rFonts w:hint="eastAsia" w:ascii="仿宋_GB2312" w:hAnsi="仿宋_GB2312" w:eastAsia="仿宋_GB2312" w:cs="仿宋_GB2312"/>
          <w:b/>
          <w:sz w:val="32"/>
          <w:szCs w:val="32"/>
        </w:rPr>
        <w:t>账务处理会计信息不够真实。</w:t>
      </w:r>
      <w:r>
        <w:rPr>
          <w:rFonts w:hint="eastAsia" w:ascii="仿宋_GB2312" w:hAnsi="仿宋_GB2312" w:eastAsia="仿宋_GB2312" w:cs="仿宋_GB2312"/>
          <w:sz w:val="32"/>
          <w:szCs w:val="32"/>
        </w:rPr>
        <w:t>违反权责发生制，多笔账务处理混淆不同会计期间的界限，导致会计信息不真实。如应付胡水明庄前社区建材厂港堤石方护砌工程款，该项目于2019年建设，2020年开具发票，2020年1月29日出具造价报告，但在2022年1月份入账。部分报账凭证存在时间上的逻辑错误，2021年度1-12月的租车费用均在2022年度报销。</w:t>
      </w:r>
    </w:p>
    <w:p>
      <w:pPr>
        <w:spacing w:line="560" w:lineRule="exact"/>
        <w:ind w:firstLine="643" w:firstLineChars="200"/>
        <w:rPr>
          <w:rFonts w:ascii="仿宋_GB2312" w:hAnsi="仿宋_GB2312" w:eastAsia="仿宋_GB2312" w:cs="仿宋_GB2312"/>
          <w:sz w:val="32"/>
          <w:szCs w:val="32"/>
        </w:rPr>
      </w:pP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4</w:t>
      </w: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国有资金投资收益率偏低。</w:t>
      </w:r>
      <w:r>
        <w:rPr>
          <w:rFonts w:hint="eastAsia" w:ascii="仿宋_GB2312" w:hAnsi="仿宋_GB2312" w:eastAsia="仿宋_GB2312" w:cs="仿宋_GB2312"/>
          <w:sz w:val="32"/>
          <w:szCs w:val="32"/>
        </w:rPr>
        <w:t>2021年北港镇申报乡村振兴项目投资566.83万元修建龙门客栈，客栈建筑面积3,600㎡，是集餐饮、民宿、会务、商务、粮酒文化展示农产品销售于一体的酒文化陈列馆。一是项目论证不充分，投资效果不理想。龙门客栈营业期间客流量不大，经济效益不高，一年内两移业主，经营十分困难。二是资产收益偏低。投资566.83万元，年租金3万元，投资收益仅0.53％，低于银行同期农贷利率。三是租金收入未按合同兑现。2021年3月1日，北港镇政府和北港镇酒业协会签订了龙门客栈租赁经营合同书，租赁期限为2021年3月1日至2026年2月28日，年租金为3万元整。2021年4月1日对外试营业。2021年9月1日北港镇政府和北港镇酒业协会签订解除协议，约定北港镇酒业协会按实际租赁时间交纳租金1.5万元。2021年9月18日，北港镇政府和李平签订了龙门客栈租赁经营合同书，租赁期限为2021年9月18日至2031年9月18日，年租金为三万元整。合同签订时龙门客栈附属工程和配套设施未完工，是由租赁方组织人员建成了基础设施，同时垫付了相关费用。因北港镇政府财力紧张，龙门客栈基础设施建设费用和租赁方一直未结清，导致镇政府未按合同收取租金。</w:t>
      </w:r>
    </w:p>
    <w:p>
      <w:pPr>
        <w:spacing w:line="560" w:lineRule="exact"/>
        <w:ind w:firstLine="640" w:firstLineChars="200"/>
        <w:outlineLvl w:val="1"/>
        <w:rPr>
          <w:rFonts w:ascii="楷体_GB2312" w:hAnsi="楷体_GB2312" w:eastAsia="楷体_GB2312" w:cs="楷体_GB2312"/>
          <w:sz w:val="32"/>
          <w:szCs w:val="32"/>
        </w:rPr>
      </w:pPr>
      <w:bookmarkStart w:id="5" w:name="_Toc3036"/>
      <w:r>
        <w:rPr>
          <w:rFonts w:hint="eastAsia" w:ascii="楷体_GB2312" w:hAnsi="楷体_GB2312" w:eastAsia="楷体_GB2312" w:cs="楷体_GB2312"/>
          <w:sz w:val="32"/>
          <w:szCs w:val="32"/>
        </w:rPr>
        <w:t>2.下一步拟改进措施</w:t>
      </w:r>
      <w:bookmarkEnd w:id="5"/>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（1）提升政府预算编制质量。</w:t>
      </w:r>
      <w:r>
        <w:rPr>
          <w:rFonts w:hint="eastAsia" w:ascii="仿宋_GB2312" w:hAnsi="仿宋_GB2312" w:eastAsia="仿宋_GB2312" w:cs="仿宋_GB2312"/>
          <w:sz w:val="32"/>
          <w:szCs w:val="32"/>
        </w:rPr>
        <w:t>一是坚持“依法编制、量力而行、量入为出”原则。严格按定额和标准编制年度部门预算, 扭转主观随意性现状,使预算资金安排与乡镇机构职能相适应，财政支出与实现绩效目标相匹配。二是坚持“问题导向、严肃预算、强化约束”原则。在编制预算时，吸取上年度预算编制存在问题，严格按照《预算法》规定编制预算，一经批准严格执行，确需调整预算的严格按照法定程序执行，未纳入预算的收入一律不安排支出。</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（2）完善部门内部管理制度。</w:t>
      </w:r>
      <w:r>
        <w:rPr>
          <w:rFonts w:hint="eastAsia" w:ascii="仿宋_GB2312" w:hAnsi="仿宋_GB2312" w:eastAsia="仿宋_GB2312" w:cs="仿宋_GB2312"/>
          <w:sz w:val="32"/>
          <w:szCs w:val="32"/>
        </w:rPr>
        <w:t>对部门已制定内控管理系列制度，包括财务管理制度、政府采购执行、合同管理、资产管理制度等进行重新完善，增强规范性。在今后的工作中，一是定期对账目进行核查，强化报账审核；二是加强合同规范管理，规范政府采购行为，做好政府采购备案工作；三是强化固定资产管理。开展固定资产清理工作，保证资产账实相符。</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（3）强化预算绩效工作管理。</w:t>
      </w:r>
      <w:r>
        <w:rPr>
          <w:rFonts w:hint="eastAsia" w:ascii="仿宋_GB2312" w:hAnsi="仿宋_GB2312" w:eastAsia="仿宋_GB2312" w:cs="仿宋_GB2312"/>
          <w:sz w:val="32"/>
          <w:szCs w:val="32"/>
        </w:rPr>
        <w:t>在预算绩效管理工作中，必须遵循“支出必问效”的原则，在预算绩效目标编制实际工作中，按资金支出内容、支出方向，结合部门履职实际，全面完整地编制资金支出绩效目标与指标，为完善资金绩效管理提供导向作用。强化绩效管理意识，提高主观能动性，加强部门绩效管理制度建设，设置绩效管理的职能部门和人员，切实开展绩效管理工作，提升部门履职能力。</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（4）盘活龙门客栈政府资产。</w:t>
      </w:r>
      <w:r>
        <w:rPr>
          <w:rFonts w:hint="eastAsia" w:ascii="仿宋_GB2312" w:hAnsi="仿宋_GB2312" w:eastAsia="仿宋_GB2312" w:cs="仿宋_GB2312"/>
          <w:sz w:val="32"/>
          <w:szCs w:val="32"/>
        </w:rPr>
        <w:t>一是建议政府委托第三方对租赁方垫付附属工程和配套基础设施进行验收审计，根据审计结果支付租赁方垫付的相关费用，并记入固定资产。二是尽快履行政府与租赁方租赁合同的兑现，租赁方及时上交租金收入。三是政府要采取措施，通过招商引资盘活龙门客栈资产，力争资产收益最大化。</w:t>
      </w:r>
    </w:p>
    <w:p>
      <w:pPr>
        <w:spacing w:line="560" w:lineRule="exact"/>
        <w:ind w:firstLine="640" w:firstLineChars="200"/>
        <w:rPr>
          <w:rFonts w:ascii="仿宋_GB2312" w:hAnsi="仿宋_GB2312" w:eastAsia="仿宋_GB2312" w:cs="仿宋_GB2312"/>
          <w:sz w:val="32"/>
          <w:szCs w:val="32"/>
        </w:rPr>
      </w:pPr>
    </w:p>
    <w:p>
      <w:pPr>
        <w:pStyle w:val="2"/>
      </w:pPr>
    </w:p>
    <w:p>
      <w:pPr>
        <w:pStyle w:val="2"/>
        <w:rPr>
          <w:rFonts w:ascii="仿宋_GB2312" w:hAnsi="Times New Roman" w:eastAsia="仿宋_GB2312"/>
          <w:sz w:val="32"/>
          <w:szCs w:val="32"/>
        </w:rPr>
      </w:pPr>
    </w:p>
    <w:p>
      <w:pPr>
        <w:spacing w:line="460" w:lineRule="exact"/>
        <w:ind w:firstLine="640" w:firstLineChars="200"/>
        <w:rPr>
          <w:rFonts w:ascii="华文中宋" w:hAnsi="华文中宋" w:eastAsia="华文中宋" w:cs="楷体"/>
          <w:bCs/>
          <w:sz w:val="32"/>
          <w:szCs w:val="32"/>
        </w:rPr>
      </w:pPr>
      <w:r>
        <w:rPr>
          <w:rFonts w:hint="eastAsia" w:ascii="华文中宋" w:hAnsi="华文中宋" w:eastAsia="华文中宋" w:cs="楷体"/>
          <w:bCs/>
          <w:sz w:val="32"/>
          <w:szCs w:val="32"/>
        </w:rPr>
        <w:t xml:space="preserve">湖北恒信会计师事务有限公司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主评人：</w:t>
      </w:r>
    </w:p>
    <w:p>
      <w:pPr>
        <w:spacing w:line="460" w:lineRule="exact"/>
        <w:rPr>
          <w:rFonts w:ascii="华文中宋" w:hAnsi="华文中宋" w:eastAsia="华文中宋" w:cs="楷体"/>
          <w:bCs/>
          <w:sz w:val="32"/>
          <w:szCs w:val="32"/>
        </w:rPr>
      </w:pPr>
    </w:p>
    <w:p>
      <w:pPr>
        <w:spacing w:line="540" w:lineRule="exact"/>
        <w:ind w:firstLine="1920" w:firstLineChars="600"/>
        <w:rPr>
          <w:rFonts w:ascii="华文中宋" w:hAnsi="华文中宋" w:eastAsia="华文中宋" w:cs="楷体"/>
          <w:bCs/>
          <w:sz w:val="32"/>
          <w:szCs w:val="32"/>
        </w:rPr>
      </w:pPr>
      <w:r>
        <w:rPr>
          <w:rFonts w:hint="eastAsia" w:ascii="华文中宋" w:hAnsi="华文中宋" w:eastAsia="华文中宋" w:cs="楷体"/>
          <w:bCs/>
          <w:sz w:val="32"/>
          <w:szCs w:val="32"/>
        </w:rPr>
        <w:t xml:space="preserve">中国·武汉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 xml:space="preserve"> 主评人：</w:t>
      </w:r>
    </w:p>
    <w:p>
      <w:pPr>
        <w:spacing w:line="540" w:lineRule="exact"/>
        <w:rPr>
          <w:rFonts w:ascii="华文中宋" w:hAnsi="华文中宋" w:eastAsia="华文中宋" w:cs="楷体"/>
          <w:bCs/>
          <w:sz w:val="32"/>
          <w:szCs w:val="32"/>
        </w:rPr>
      </w:pPr>
    </w:p>
    <w:p>
      <w:pPr>
        <w:spacing w:line="540" w:lineRule="exact"/>
        <w:rPr>
          <w:rFonts w:ascii="华文中宋" w:hAnsi="华文中宋" w:eastAsia="华文中宋" w:cs="楷体"/>
          <w:bCs/>
          <w:sz w:val="32"/>
          <w:szCs w:val="32"/>
          <w:highlight w:val="red"/>
        </w:rPr>
        <w:sectPr>
          <w:footerReference r:id="rId7" w:type="default"/>
          <w:pgSz w:w="11906" w:h="16838"/>
          <w:pgMar w:top="2098" w:right="1474" w:bottom="1985" w:left="1588" w:header="851" w:footer="992" w:gutter="0"/>
          <w:pgNumType w:start="1"/>
          <w:cols w:space="720" w:num="1"/>
          <w:docGrid w:type="lines" w:linePitch="312" w:charSpace="0"/>
        </w:sectPr>
      </w:pPr>
      <w:r>
        <w:rPr>
          <w:rFonts w:hint="eastAsia" w:ascii="华文中宋" w:hAnsi="华文中宋" w:eastAsia="华文中宋" w:cs="楷体"/>
          <w:bCs/>
          <w:sz w:val="32"/>
          <w:szCs w:val="32"/>
        </w:rPr>
        <w:t xml:space="preserve">                             </w:t>
      </w:r>
      <w:r>
        <w:rPr>
          <w:rFonts w:ascii="华文中宋" w:hAnsi="华文中宋" w:eastAsia="华文中宋" w:cs="楷体"/>
          <w:bCs/>
          <w:sz w:val="32"/>
          <w:szCs w:val="32"/>
        </w:rPr>
        <w:t xml:space="preserve">  </w:t>
      </w:r>
      <w:r>
        <w:rPr>
          <w:rFonts w:hint="eastAsia" w:ascii="华文中宋" w:hAnsi="华文中宋" w:eastAsia="华文中宋" w:cs="楷体"/>
          <w:bCs/>
          <w:sz w:val="32"/>
          <w:szCs w:val="32"/>
        </w:rPr>
        <w:t xml:space="preserve"> 20</w:t>
      </w:r>
      <w:r>
        <w:rPr>
          <w:rFonts w:ascii="华文中宋" w:hAnsi="华文中宋" w:eastAsia="华文中宋" w:cs="楷体"/>
          <w:bCs/>
          <w:sz w:val="32"/>
          <w:szCs w:val="32"/>
        </w:rPr>
        <w:t>2</w:t>
      </w:r>
      <w:r>
        <w:rPr>
          <w:rFonts w:hint="eastAsia" w:ascii="华文中宋" w:hAnsi="华文中宋" w:eastAsia="华文中宋" w:cs="楷体"/>
          <w:bCs/>
          <w:sz w:val="32"/>
          <w:szCs w:val="32"/>
        </w:rPr>
        <w:t>3年9月28日</w:t>
      </w:r>
    </w:p>
    <w:p>
      <w:pPr>
        <w:pStyle w:val="2"/>
        <w:spacing w:line="360" w:lineRule="auto"/>
        <w:ind w:firstLine="640" w:firstLineChars="200"/>
        <w:rPr>
          <w:rFonts w:ascii="仿宋_GB2312" w:hAnsi="Times New Roman" w:eastAsia="仿宋_GB2312"/>
          <w:sz w:val="32"/>
          <w:szCs w:val="32"/>
        </w:rPr>
      </w:pPr>
      <w:r>
        <w:rPr>
          <w:rFonts w:hint="eastAsia" w:ascii="仿宋_GB2312" w:hAnsi="Times New Roman" w:eastAsia="仿宋_GB2312"/>
          <w:sz w:val="32"/>
          <w:szCs w:val="32"/>
        </w:rPr>
        <w:t>附件：绩效评价得分表</w:t>
      </w:r>
    </w:p>
    <w:tbl>
      <w:tblPr>
        <w:tblStyle w:val="10"/>
        <w:tblW w:w="0" w:type="auto"/>
        <w:tblInd w:w="93" w:type="dxa"/>
        <w:tblLayout w:type="autofit"/>
        <w:tblCellMar>
          <w:top w:w="0" w:type="dxa"/>
          <w:left w:w="108" w:type="dxa"/>
          <w:bottom w:w="0" w:type="dxa"/>
          <w:right w:w="108" w:type="dxa"/>
        </w:tblCellMar>
      </w:tblPr>
      <w:tblGrid>
        <w:gridCol w:w="896"/>
        <w:gridCol w:w="928"/>
        <w:gridCol w:w="1192"/>
        <w:gridCol w:w="532"/>
        <w:gridCol w:w="6088"/>
        <w:gridCol w:w="545"/>
        <w:gridCol w:w="4313"/>
        <w:gridCol w:w="765"/>
      </w:tblGrid>
      <w:tr>
        <w:tblPrEx>
          <w:tblCellMar>
            <w:top w:w="0" w:type="dxa"/>
            <w:left w:w="108" w:type="dxa"/>
            <w:bottom w:w="0" w:type="dxa"/>
            <w:right w:w="108" w:type="dxa"/>
          </w:tblCellMar>
        </w:tblPrEx>
        <w:trPr>
          <w:trHeight w:val="444" w:hRule="atLeast"/>
          <w:tblHeader/>
        </w:trPr>
        <w:tc>
          <w:tcPr>
            <w:tcW w:w="0" w:type="auto"/>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36"/>
                <w:szCs w:val="36"/>
              </w:rPr>
            </w:pPr>
            <w:r>
              <w:rPr>
                <w:rFonts w:hint="eastAsia" w:ascii="宋体" w:hAnsi="宋体" w:cs="宋体"/>
                <w:color w:val="000000"/>
                <w:kern w:val="0"/>
                <w:sz w:val="36"/>
                <w:szCs w:val="36"/>
              </w:rPr>
              <w:t>通城县北港镇2022年度部门整体支出绩效评价得分表</w:t>
            </w:r>
          </w:p>
        </w:tc>
      </w:tr>
      <w:tr>
        <w:tblPrEx>
          <w:tblCellMar>
            <w:top w:w="0" w:type="dxa"/>
            <w:left w:w="108" w:type="dxa"/>
            <w:bottom w:w="0" w:type="dxa"/>
            <w:right w:w="108" w:type="dxa"/>
          </w:tblCellMar>
        </w:tblPrEx>
        <w:trPr>
          <w:trHeight w:val="480" w:hRule="atLeast"/>
          <w:tblHead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一级指标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二级指标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三级指标</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评价要点</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指标分类</w:t>
            </w:r>
          </w:p>
        </w:tc>
        <w:tc>
          <w:tcPr>
            <w:tcW w:w="4314" w:type="dxa"/>
            <w:tcBorders>
              <w:top w:val="single" w:color="auto" w:sz="4" w:space="0"/>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kern w:val="0"/>
                <w:sz w:val="20"/>
                <w:szCs w:val="20"/>
              </w:rPr>
            </w:pPr>
            <w:r>
              <w:rPr>
                <w:rFonts w:hint="eastAsia" w:ascii="宋体" w:hAnsi="宋体" w:cs="宋体"/>
                <w:b/>
                <w:bCs/>
                <w:color w:val="000000"/>
                <w:kern w:val="0"/>
                <w:sz w:val="20"/>
                <w:szCs w:val="20"/>
                <w:lang w:bidi="ar"/>
              </w:rPr>
              <w:t>评分标准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评价得分</w:t>
            </w:r>
          </w:p>
        </w:tc>
      </w:tr>
      <w:tr>
        <w:tblPrEx>
          <w:tblCellMar>
            <w:top w:w="0" w:type="dxa"/>
            <w:left w:w="108" w:type="dxa"/>
            <w:bottom w:w="0" w:type="dxa"/>
            <w:right w:w="108" w:type="dxa"/>
          </w:tblCellMar>
        </w:tblPrEx>
        <w:trPr>
          <w:trHeight w:val="1308"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运行成本（8分）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公用经费控制 （2分）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xml:space="preserve">公用经费控制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部门(单位)本年度实际支出的公用经费总额与预算安排的公用经费总额的比率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公用经费控制率=(实际支出公用经费总额/预算安排公用经费总额)*100%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公用经费控制率≤100%，得满分;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公用经费控制率&gt;100%，不得分。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11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在职人员控制（2分）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在职人员控制率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部门(单位)本年度实际在职人员与核定编制数的比率，在职人员控制率=(在职人员数/核定编制数)*100%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比率&lt;100%，得满分;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比率&gt;100%，每增加1%，扣 5%权重分，扣完为止。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1.41</w:t>
            </w:r>
          </w:p>
        </w:tc>
      </w:tr>
      <w:tr>
        <w:tblPrEx>
          <w:tblCellMar>
            <w:top w:w="0" w:type="dxa"/>
            <w:left w:w="108" w:type="dxa"/>
            <w:bottom w:w="0" w:type="dxa"/>
            <w:right w:w="108" w:type="dxa"/>
          </w:tblCellMar>
        </w:tblPrEx>
        <w:trPr>
          <w:trHeight w:val="984"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项目支出成本控制（4分）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会议费控制率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部门(单位)本年度会议费支出与相关支出标准的匹配程度。</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本年度会议费支出数额小于等于相关支出标准，得满分；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出现超出标准的情况，不得分。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74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“三公经费”变动率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部门(单位)本年度“三公经费”与上年度“三公经费”的变动比率。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044"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管理效率(22分)</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战略管理（2分）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中长期规划相符性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部门规划与国家、县委县政府战略的匹配性、与部门职能的相符性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全部符合（1分）；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符合其中一项（0.5分）；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不符合（0分）。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41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工作计划健全性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部门年度工作计划制定是否明确、具体、可操作，是否与部门职能和中长期规划相匹配。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非常明确、匹配，1分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比较准确、匹配，0.75～0.5分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基本准确、匹配，0.5～0.25分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基本不清晰或不明确、不匹配，0分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0.75</w:t>
            </w:r>
          </w:p>
        </w:tc>
      </w:tr>
      <w:tr>
        <w:tblPrEx>
          <w:tblCellMar>
            <w:top w:w="0" w:type="dxa"/>
            <w:left w:w="108" w:type="dxa"/>
            <w:bottom w:w="0" w:type="dxa"/>
            <w:right w:w="108" w:type="dxa"/>
          </w:tblCellMar>
        </w:tblPrEx>
        <w:trPr>
          <w:trHeight w:val="234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预算编制科学性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预算编制的基本信息内容是否真实、完整、准确，基本支出预算是否按照规定标准编制;项目预算测算依据是否充分。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1.预算编制是否经过科学论证，符合部门战略发展规划；</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2.预算内容与部门职能和工作内容是否匹配；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3.预算额度测算依据是否充分，是否按照标准编制；</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4.预算确定的预算投资额或资金量是否与工作任务相匹配。</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每一小项符合得0.25分。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CellMar>
            <w:top w:w="0" w:type="dxa"/>
            <w:left w:w="108" w:type="dxa"/>
            <w:bottom w:w="0" w:type="dxa"/>
            <w:right w:w="108" w:type="dxa"/>
          </w:tblCellMar>
        </w:tblPrEx>
        <w:trPr>
          <w:trHeight w:val="1728"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预算编制合理性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重点项目预算是否有保障;部门内部项目之间是否存在交叉重复。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部门预算经过科学论证，与工作任务、部门绩效目标一一对应、评价依据充分，重点工作重点保障、遵循轻重缓急按序保障等、得1分；有不符评价要点的每项扣0.25分，扣完为止。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284"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立项规范性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各项目设立依据是否充分，是否按照规定的程序申请设立，事前是否经过必要的可行性研究、专家论证、风险评估、绩效评估、集体决策等。</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项目事前经过必要的论证、设立依据充分且按规定程序申请设立，得1分，有不符合评价要点的每一项扣0.3分，扣完为止。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CellMar>
            <w:top w:w="0" w:type="dxa"/>
            <w:left w:w="108" w:type="dxa"/>
            <w:bottom w:w="0" w:type="dxa"/>
            <w:right w:w="108" w:type="dxa"/>
          </w:tblCellMar>
        </w:tblPrEx>
        <w:trPr>
          <w:trHeight w:val="20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预算调整率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预算调整数与预算数的比率。预算调整数为部门(单位)在本年度内涉及预算的追加追减或结构调整的资金总和(因落实国家政策，发生不可抗力、上级部门或本级党委政府临时交办而产生的调整除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预算调整率= (预算调整数/预算数)*100%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比率&gt;0%，每增加 1%，扣 5%权重分，扣完为止。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2028"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部门(单位)本年度预算完成数与调整预算数的比率。得分=预算执行率*分值。</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①基本支出预算执行率=(基本支出预算执行数/基本支出调整预算数)*100%，此项分值 0.6分。</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②项目支出预算执行率=(项目支出预算执行数/项目支出调整预算数)*100%，此项分值1.4分。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比率&gt;100%，每增加 1%，扣 5%权重分，扣完为止。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332"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结转结余率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部门(单位)本年度结转结余总额与调整预算数的比率，结转结余率=结转结余总额/调整预算数*100%。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比率&gt;0%，每增加 1%，扣10%的权重分，扣完为止。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3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政府采购执行率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 (单位)本年度实际政府采购金额与年初政府采购预算的比率，政府采购执行率=(实际政府采购金额/政府采购预算数)*100%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得分=政府采购执行率*分值。</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CellMar>
            <w:top w:w="0" w:type="dxa"/>
            <w:left w:w="108" w:type="dxa"/>
            <w:bottom w:w="0" w:type="dxa"/>
            <w:right w:w="108" w:type="dxa"/>
          </w:tblCellMar>
        </w:tblPrEx>
        <w:trPr>
          <w:trHeight w:val="153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非税收入预算完成率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部门(单位)本年度实际非税收入完成数与年初非税收入预算数的比率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非税收入预算完成率= (非税收入实际完成数/非税收入预算数)*100%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比率≥100%，得满分;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比率&lt;100%，每减少 1%，扣2%的权重分，扣完为止。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9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事前绩效评估完成率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部门(单位)本年度开展事前绩效评估数量与新出台的申请财政资金200万元以上的重大政策和项目数量的比率。事前绩效评估完成率=(本年度开展事前绩效评估数量/新出台的申请财政资金 200万元以上的重大政策和项目数量)*100%。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得分=事前绩效评估完成率 * 分值。</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9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绩效目标合理性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 xml:space="preserve">部门(单位)本年度项目支出 (包括部门预算项目支出、省直专项支出、省对下转移支付、具有特定用途和具体使用目标的共同事权类一般性转移支付)是否设置绩效目标;是否设置部门整体绩效目标 </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部门(单位)设置的绩效目标依据是否充分，是否符合客观实际是否符合部门制定的中长期规划和年度工作计划。</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绩效目标制定依据充分，符合客观实际、中长期规划和年度工作计划，绩效指标清晰、细化、可考量，得1分；缺失一项扣0.2分，扣完为止。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17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绩效监控开展率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部门(单位)本年度绩效运行监控的范围是否覆盖所管理的所有项目支出，包括部门预算项目 (不含不可预见费)、省直专项、省对下转移支付、具有特定用途和具体使用目标的共同事权类一般性转移支付;是否按期完成绩效运行监控汇总分析工作</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绩效监控工作按期完成，且能覆盖所有的项目支出，得1分；缺失一项扣0.2分，扣完为止。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95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绩效评价覆盖率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部门(单位)本年度是否对所管理的所有省级预算一级项目和二级项目开展部门自评，包括括部门预算项目 (不含不可预见费 )、省直专项、省对下转移支付、具有特定用途和具体使用目标的共同事权类般性转移支付;是否对本部门整体开展部门自评。</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完成绩效自评报告并及时提交，得1分；未开展绩效自评，不得分。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11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评价结果应用率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 (单位)是否根据部门自评和财政评价结果进行整改，以前年度的评价结果是否在本年度编制预算时进行应用。</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根据评价结果应用情况综合考核酌情给分。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7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资产管理制度健全性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部门(单位)为加强资产管理、规范资产管理行为而制定的管理制度是否完善。</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是否制定资产配置、使用、处置、收益等相关制度办法。此项 0.5分</w:t>
            </w:r>
            <w:r>
              <w:rPr>
                <w:rFonts w:hint="eastAsia" w:ascii="宋体" w:hAnsi="宋体" w:cs="宋体"/>
                <w:color w:val="000000"/>
                <w:kern w:val="0"/>
                <w:sz w:val="20"/>
                <w:szCs w:val="20"/>
              </w:rPr>
              <w:br w:type="textWrapping"/>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是否制定资产管理内部控制制度或操作规程。此项 0.5分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制定资产配置、使用、处置、收益等相关制度办法。得 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制定资产管理内部控制制度或操作规程。的0.5分。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76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部门(单位)的资产是否保存完整、使用合规、配置合理、处置规范收入及时足额上缴。</w:t>
            </w:r>
            <w:r>
              <w:rPr>
                <w:rFonts w:hint="eastAsia" w:ascii="宋体" w:hAnsi="宋体" w:cs="宋体"/>
                <w:color w:val="000000"/>
                <w:kern w:val="0"/>
                <w:sz w:val="20"/>
                <w:szCs w:val="20"/>
              </w:rPr>
              <w:br w:type="page"/>
            </w: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是否按批复的预算配置资产，新购资产入库管理是否规范(如编制采购计划、进行采购审核、验收等)。此项 0.4 分</w:t>
            </w:r>
            <w:r>
              <w:rPr>
                <w:rFonts w:hint="eastAsia" w:ascii="宋体" w:hAnsi="宋体" w:cs="宋体"/>
                <w:color w:val="000000"/>
                <w:kern w:val="0"/>
                <w:sz w:val="20"/>
                <w:szCs w:val="20"/>
              </w:rPr>
              <w:br w:type="page"/>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是否定期对现有资产进行盘点、对账，是否账实相符。此项 0.3 分</w:t>
            </w:r>
            <w:r>
              <w:rPr>
                <w:rFonts w:hint="eastAsia" w:ascii="宋体" w:hAnsi="宋体" w:cs="宋体"/>
                <w:color w:val="000000"/>
                <w:kern w:val="0"/>
                <w:sz w:val="20"/>
                <w:szCs w:val="20"/>
              </w:rPr>
              <w:br w:type="page"/>
            </w:r>
            <w:r>
              <w:rPr>
                <w:rFonts w:hint="eastAsia" w:ascii="仿宋" w:hAnsi="仿宋" w:eastAsia="仿宋" w:cs="宋体"/>
                <w:color w:val="000000"/>
                <w:kern w:val="0"/>
                <w:sz w:val="20"/>
                <w:szCs w:val="20"/>
              </w:rPr>
              <w:t>③</w:t>
            </w:r>
            <w:r>
              <w:rPr>
                <w:rFonts w:hint="eastAsia" w:ascii="宋体" w:hAnsi="宋体" w:cs="宋体"/>
                <w:color w:val="000000"/>
                <w:kern w:val="0"/>
                <w:sz w:val="20"/>
                <w:szCs w:val="20"/>
              </w:rPr>
              <w:t>资产有偿使用和资产处置是否规范(批复、公开等)，所获收入是否及时足额上缴。此项0.3分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按照内控管理制度有效执行，得1分；未按制度执行或管理记录缺失的，每项扣0.3分，扣完为止。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231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财务管理（3分）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加强财务管理、规范财务行为而制定的管理制度是否健全完整，是否已制定或具有相应的财务管理内控制度，包括收入与支出管理、往来资金结算管理、现金及银行存款管理、财务监督管理政府采购管理、绩效管理等;财务管理制度是否合法、合规、完整。</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建立了完善的财务管理制度，收入与支出管理、往来资金结算管理、现金及银行存款管理、财务监督管理政府采购管理、绩效管理等，得1分；制度有缺失或制度存在明显缺陷每项目扣0.25分，扣完为止；无制度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32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会计核算规范性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部门(单位)的财务核算是否符合符合国家财经法规和财务管理制度及专项资金管理有关规定;部门(单位)基础数据信息和会计信息资料是否真实、准确、完整。</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财务核算符合相关制度及管理规定，数据及资料真实、准确、完整得1分，发现一项不规范扣0.2分，扣完为止。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0.4</w:t>
            </w:r>
          </w:p>
        </w:tc>
      </w:tr>
      <w:tr>
        <w:tblPrEx>
          <w:tblCellMar>
            <w:top w:w="0" w:type="dxa"/>
            <w:left w:w="108" w:type="dxa"/>
            <w:bottom w:w="0" w:type="dxa"/>
            <w:right w:w="108" w:type="dxa"/>
          </w:tblCellMar>
        </w:tblPrEx>
        <w:trPr>
          <w:trHeight w:val="20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资金使用规范性</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使用预算资金是否符合国家财经法规和财务管理制度以及有关专项资金管理办法的规定;是否存在截留、挤占、挪用、虚列支出等情况;资金拨付是否有完整的审批程序和手续;公用经费是否存在超标准支出情况，项目支出与公用经费是否存在交叉重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资金的拨付审批程序完整、项目的重大开支经集体决策程序、资金实际用途与预算批复相一致、不存在截留、挤占、挪用、虚列支出，以上评价要点全部合规得1分，一项不符合扣0.25分，扣完为止。有重大违规违纪情况的直接计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0.25</w:t>
            </w:r>
          </w:p>
        </w:tc>
      </w:tr>
      <w:tr>
        <w:tblPrEx>
          <w:tblCellMar>
            <w:top w:w="0" w:type="dxa"/>
            <w:left w:w="108" w:type="dxa"/>
            <w:bottom w:w="0" w:type="dxa"/>
            <w:right w:w="108" w:type="dxa"/>
          </w:tblCellMar>
        </w:tblPrEx>
        <w:trPr>
          <w:trHeight w:val="1656"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履职效能（30分）</w:t>
            </w:r>
          </w:p>
        </w:tc>
        <w:tc>
          <w:tcPr>
            <w:tcW w:w="0" w:type="auto"/>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经济发展（6分）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经济复苏与税收成效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1、是否通过招商引资及自身经济发展，推动本镇经济复苏；</w:t>
            </w:r>
            <w:r>
              <w:rPr>
                <w:rFonts w:hint="eastAsia" w:ascii="宋体" w:hAnsi="宋体" w:cs="宋体"/>
                <w:kern w:val="0"/>
                <w:sz w:val="20"/>
                <w:szCs w:val="20"/>
              </w:rPr>
              <w:br w:type="textWrapping"/>
            </w:r>
            <w:r>
              <w:rPr>
                <w:rFonts w:hint="eastAsia" w:ascii="宋体" w:hAnsi="宋体" w:cs="宋体"/>
                <w:kern w:val="0"/>
                <w:sz w:val="20"/>
                <w:szCs w:val="20"/>
              </w:rPr>
              <w:t xml:space="preserve">2、税收增长率=（2022年税收收入-2021年税收收入）/2021年税收收入×100%。 </w:t>
            </w:r>
            <w:r>
              <w:rPr>
                <w:rFonts w:hint="eastAsia" w:ascii="宋体" w:hAnsi="宋体" w:cs="宋体"/>
                <w:kern w:val="0"/>
                <w:sz w:val="20"/>
                <w:szCs w:val="20"/>
              </w:rPr>
              <w:br w:type="textWrapping"/>
            </w:r>
            <w:r>
              <w:rPr>
                <w:rFonts w:hint="eastAsia" w:ascii="宋体" w:hAnsi="宋体" w:cs="宋体"/>
                <w:kern w:val="0"/>
                <w:sz w:val="20"/>
                <w:szCs w:val="20"/>
              </w:rPr>
              <w:t xml:space="preserve">3、该项工作是否有效完成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按指标实际完成情况计算得分。有量化数据考核标准的，根据数据完成比例计算得分。定性指标考核的按完成结果程度（全部100%、基本90%以上、60～80%、60%以下）等级情况酌情给分。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r>
      <w:tr>
        <w:tblPrEx>
          <w:tblCellMar>
            <w:top w:w="0" w:type="dxa"/>
            <w:left w:w="108" w:type="dxa"/>
            <w:bottom w:w="0" w:type="dxa"/>
            <w:right w:w="108" w:type="dxa"/>
          </w:tblCellMar>
        </w:tblPrEx>
        <w:trPr>
          <w:trHeight w:val="165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乡村振兴（6分）</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巩固脱贫衔接乡村振兴成效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1、是否贯彻防止返贫动态监测和帮机制</w:t>
            </w:r>
            <w:r>
              <w:rPr>
                <w:rFonts w:hint="eastAsia" w:ascii="宋体" w:hAnsi="宋体" w:cs="宋体"/>
                <w:kern w:val="0"/>
                <w:sz w:val="20"/>
                <w:szCs w:val="20"/>
              </w:rPr>
              <w:br w:type="textWrapping"/>
            </w:r>
            <w:r>
              <w:rPr>
                <w:rFonts w:hint="eastAsia" w:ascii="宋体" w:hAnsi="宋体" w:cs="宋体"/>
                <w:kern w:val="0"/>
                <w:sz w:val="20"/>
                <w:szCs w:val="20"/>
              </w:rPr>
              <w:t>2、是否有发展乡村振兴项目</w:t>
            </w:r>
            <w:r>
              <w:rPr>
                <w:rFonts w:hint="eastAsia" w:ascii="宋体" w:hAnsi="宋体" w:cs="宋体"/>
                <w:kern w:val="0"/>
                <w:sz w:val="20"/>
                <w:szCs w:val="20"/>
              </w:rPr>
              <w:br w:type="textWrapping"/>
            </w:r>
            <w:r>
              <w:rPr>
                <w:rFonts w:hint="eastAsia" w:ascii="宋体" w:hAnsi="宋体" w:cs="宋体"/>
                <w:kern w:val="0"/>
                <w:sz w:val="20"/>
                <w:szCs w:val="20"/>
              </w:rPr>
              <w:t>3、乡村振兴项目是否快速推进</w:t>
            </w:r>
            <w:r>
              <w:rPr>
                <w:rFonts w:hint="eastAsia" w:ascii="宋体" w:hAnsi="宋体" w:cs="宋体"/>
                <w:kern w:val="0"/>
                <w:sz w:val="20"/>
                <w:szCs w:val="20"/>
              </w:rPr>
              <w:br w:type="textWrapping"/>
            </w:r>
            <w:r>
              <w:rPr>
                <w:rFonts w:hint="eastAsia" w:ascii="宋体" w:hAnsi="宋体" w:cs="宋体"/>
                <w:kern w:val="0"/>
                <w:sz w:val="20"/>
                <w:szCs w:val="20"/>
              </w:rPr>
              <w:t>4.该项工作是否有效完成；</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r>
      <w:tr>
        <w:tblPrEx>
          <w:tblCellMar>
            <w:top w:w="0" w:type="dxa"/>
            <w:left w:w="108" w:type="dxa"/>
            <w:bottom w:w="0" w:type="dxa"/>
            <w:right w:w="108" w:type="dxa"/>
          </w:tblCellMar>
        </w:tblPrEx>
        <w:trPr>
          <w:trHeight w:val="138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疫情防控(6分)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疫情防控成效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1、疫情防控措施是否落实落地</w:t>
            </w:r>
            <w:r>
              <w:rPr>
                <w:rFonts w:hint="eastAsia" w:ascii="宋体" w:hAnsi="宋体" w:cs="宋体"/>
                <w:kern w:val="0"/>
                <w:sz w:val="20"/>
                <w:szCs w:val="20"/>
              </w:rPr>
              <w:br w:type="page"/>
            </w:r>
            <w:r>
              <w:rPr>
                <w:rFonts w:hint="eastAsia" w:ascii="宋体" w:hAnsi="宋体" w:cs="宋体"/>
                <w:kern w:val="0"/>
                <w:sz w:val="20"/>
                <w:szCs w:val="20"/>
              </w:rPr>
              <w:t>2、疫情排查是否高效有序</w:t>
            </w:r>
            <w:r>
              <w:rPr>
                <w:rFonts w:hint="eastAsia" w:ascii="宋体" w:hAnsi="宋体" w:cs="宋体"/>
                <w:kern w:val="0"/>
                <w:sz w:val="20"/>
                <w:szCs w:val="20"/>
              </w:rPr>
              <w:br w:type="page"/>
            </w:r>
            <w:r>
              <w:rPr>
                <w:rFonts w:hint="eastAsia" w:ascii="宋体" w:hAnsi="宋体" w:cs="宋体"/>
                <w:kern w:val="0"/>
                <w:sz w:val="20"/>
                <w:szCs w:val="20"/>
              </w:rPr>
              <w:t>3、疫苗接种是否高效有序</w:t>
            </w:r>
            <w:r>
              <w:rPr>
                <w:rFonts w:hint="eastAsia" w:ascii="宋体" w:hAnsi="宋体" w:cs="宋体"/>
                <w:kern w:val="0"/>
                <w:sz w:val="20"/>
                <w:szCs w:val="20"/>
              </w:rPr>
              <w:br w:type="page"/>
            </w:r>
            <w:r>
              <w:rPr>
                <w:rFonts w:hint="eastAsia" w:ascii="宋体" w:hAnsi="宋体" w:cs="宋体"/>
                <w:kern w:val="0"/>
                <w:sz w:val="20"/>
                <w:szCs w:val="20"/>
              </w:rPr>
              <w:t>1、该项工作是否有效完成</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159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社会治理（6分）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社会治理成效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1、镇村换届是否顺利</w:t>
            </w:r>
            <w:r>
              <w:rPr>
                <w:rFonts w:hint="eastAsia" w:ascii="宋体" w:hAnsi="宋体" w:cs="宋体"/>
                <w:kern w:val="0"/>
                <w:sz w:val="20"/>
                <w:szCs w:val="20"/>
              </w:rPr>
              <w:br w:type="textWrapping"/>
            </w:r>
            <w:r>
              <w:rPr>
                <w:rFonts w:hint="eastAsia" w:ascii="宋体" w:hAnsi="宋体" w:cs="宋体"/>
                <w:kern w:val="0"/>
                <w:sz w:val="20"/>
                <w:szCs w:val="20"/>
              </w:rPr>
              <w:t>2、乡镇治理成效是否显著</w:t>
            </w:r>
            <w:r>
              <w:rPr>
                <w:rFonts w:hint="eastAsia" w:ascii="宋体" w:hAnsi="宋体" w:cs="宋体"/>
                <w:kern w:val="0"/>
                <w:sz w:val="20"/>
                <w:szCs w:val="20"/>
              </w:rPr>
              <w:br w:type="textWrapping"/>
            </w:r>
            <w:r>
              <w:rPr>
                <w:rFonts w:hint="eastAsia" w:ascii="宋体" w:hAnsi="宋体" w:cs="宋体"/>
                <w:kern w:val="0"/>
                <w:sz w:val="20"/>
                <w:szCs w:val="20"/>
              </w:rPr>
              <w:t>3、文明乡镇创建有何成果</w:t>
            </w:r>
            <w:r>
              <w:rPr>
                <w:rFonts w:hint="eastAsia" w:ascii="宋体" w:hAnsi="宋体" w:cs="宋体"/>
                <w:kern w:val="0"/>
                <w:sz w:val="20"/>
                <w:szCs w:val="20"/>
              </w:rPr>
              <w:br w:type="textWrapping"/>
            </w:r>
            <w:r>
              <w:rPr>
                <w:rFonts w:hint="eastAsia" w:ascii="宋体" w:hAnsi="宋体" w:cs="宋体"/>
                <w:kern w:val="0"/>
                <w:sz w:val="20"/>
                <w:szCs w:val="20"/>
              </w:rPr>
              <w:t>4、综治维稳是否有效推进</w:t>
            </w:r>
            <w:r>
              <w:rPr>
                <w:rFonts w:hint="eastAsia" w:ascii="宋体" w:hAnsi="宋体" w:cs="宋体"/>
                <w:kern w:val="0"/>
                <w:sz w:val="20"/>
                <w:szCs w:val="20"/>
              </w:rPr>
              <w:br w:type="textWrapping"/>
            </w:r>
            <w:r>
              <w:rPr>
                <w:rFonts w:hint="eastAsia" w:ascii="宋体" w:hAnsi="宋体" w:cs="宋体"/>
                <w:kern w:val="0"/>
                <w:sz w:val="20"/>
                <w:szCs w:val="20"/>
              </w:rPr>
              <w:t>5、该项工作是否有效完成</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r>
      <w:tr>
        <w:tblPrEx>
          <w:tblCellMar>
            <w:top w:w="0" w:type="dxa"/>
            <w:left w:w="108" w:type="dxa"/>
            <w:bottom w:w="0" w:type="dxa"/>
            <w:right w:w="108" w:type="dxa"/>
          </w:tblCellMar>
        </w:tblPrEx>
        <w:trPr>
          <w:trHeight w:val="1998"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生态建设（6分）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生态建设成效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1、部门在生态建设方面有何作为</w:t>
            </w:r>
            <w:r>
              <w:rPr>
                <w:rFonts w:hint="eastAsia" w:ascii="宋体" w:hAnsi="宋体" w:cs="宋体"/>
                <w:kern w:val="0"/>
                <w:sz w:val="20"/>
                <w:szCs w:val="20"/>
              </w:rPr>
              <w:br w:type="textWrapping"/>
            </w:r>
            <w:r>
              <w:rPr>
                <w:rFonts w:hint="eastAsia" w:ascii="宋体" w:hAnsi="宋体" w:cs="宋体"/>
                <w:kern w:val="0"/>
                <w:sz w:val="20"/>
                <w:szCs w:val="20"/>
              </w:rPr>
              <w:t>2、生态建设是否有效改善了人居及生态环境</w:t>
            </w:r>
            <w:r>
              <w:rPr>
                <w:rFonts w:hint="eastAsia" w:ascii="宋体" w:hAnsi="宋体" w:cs="宋体"/>
                <w:kern w:val="0"/>
                <w:sz w:val="20"/>
                <w:szCs w:val="20"/>
              </w:rPr>
              <w:br w:type="textWrapping"/>
            </w:r>
            <w:r>
              <w:rPr>
                <w:rFonts w:hint="eastAsia" w:ascii="宋体" w:hAnsi="宋体" w:cs="宋体"/>
                <w:kern w:val="0"/>
                <w:sz w:val="20"/>
                <w:szCs w:val="20"/>
              </w:rPr>
              <w:t>3.该项工作是否有效完成</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r>
      <w:tr>
        <w:tblPrEx>
          <w:tblCellMar>
            <w:top w:w="0" w:type="dxa"/>
            <w:left w:w="108" w:type="dxa"/>
            <w:bottom w:w="0" w:type="dxa"/>
            <w:right w:w="108" w:type="dxa"/>
          </w:tblCellMar>
        </w:tblPrEx>
        <w:trPr>
          <w:trHeight w:val="1843"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社会效应（30分）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经济效益（10分）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促进经济发展</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部门履职对行业经济发展带来的直接与间接影响。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按指标实际完成情况计算得分。有量化数据考核标准的，根据数据完成比例计算得分。定性指标考核的按完成结果程度（全部100%、基本90%以上、60～80%、60%以下）等级情况酌情给分。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1958"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社会效益（10分）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优化社会事业</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部门履职对当地社会带来的直接与间接影响。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1762"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生态效益（10分）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改善人居环境与生态环境</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部门履职对当地生态环境带来的直接与间接影响。</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1884"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可持续发展能力（6分）</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体制机制改革（2分）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服务体制改革成效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服务型政府建设情况，部门服务社会化、服务市场等情况。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对部门整体履职提升影响明显得1分，良好影响的得0.5分，无影响得0分。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78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行政管理体制改革成效</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机构、职能、权力、责任、程序法定化，明确事权和相应的支出责任等情况。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体制机制创新改革对部门整体履职提升影响明显得1分，良好影响的得0.7分，有所影响的得0.3分。无影响或者体制机制无创新改革得0分。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14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人才支撑（2分）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业务学习与培训完成率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部门(单位)为履行职责而实际完成的业务学习与培训数与计划工作数的比率。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业务学习与培训完成率=(实际完成的业务学习与培训数/计划业务学习与培训数*100%。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得分=业务学习与培训完成率 * 分值。</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1762"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干部队伍体系建设规划情况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部门(单位)干部队伍建设是否具备科学合理的制度支撑，人才储备规划是否符合本单位发展需求。</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设置了干部队伍建设制度或相关规划的，的0.5分；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否则不得分。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1776"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高学历、高层次人才储备率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①</w:t>
            </w:r>
            <w:r>
              <w:rPr>
                <w:rFonts w:hint="eastAsia" w:ascii="宋体" w:hAnsi="宋体" w:cs="宋体"/>
                <w:color w:val="000000"/>
                <w:kern w:val="0"/>
                <w:sz w:val="20"/>
                <w:szCs w:val="20"/>
              </w:rPr>
              <w:t>高层次人才培养:高层次领军人才培养、创新团队建设工作开展情况和成效，是否符合人才发展规划的要求。</w:t>
            </w:r>
            <w:r>
              <w:rPr>
                <w:rFonts w:hint="eastAsia" w:ascii="宋体" w:hAnsi="宋体" w:cs="宋体"/>
                <w:color w:val="000000"/>
                <w:kern w:val="0"/>
                <w:sz w:val="20"/>
                <w:szCs w:val="20"/>
              </w:rPr>
              <w:br w:type="page"/>
            </w:r>
            <w:r>
              <w:rPr>
                <w:rFonts w:hint="eastAsia" w:ascii="仿宋" w:hAnsi="仿宋" w:eastAsia="仿宋" w:cs="宋体"/>
                <w:color w:val="000000"/>
                <w:kern w:val="0"/>
                <w:sz w:val="20"/>
                <w:szCs w:val="20"/>
              </w:rPr>
              <w:t>②</w:t>
            </w:r>
            <w:r>
              <w:rPr>
                <w:rFonts w:hint="eastAsia" w:ascii="宋体" w:hAnsi="宋体" w:cs="宋体"/>
                <w:color w:val="000000"/>
                <w:kern w:val="0"/>
                <w:sz w:val="20"/>
                <w:szCs w:val="20"/>
              </w:rPr>
              <w:t>高学历人才储备:大学本科人才数量及比率是否符合人才发展规划目标。</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每年干部培训超过1次且全员覆盖得0.5分，否则不得分；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在职部门高学历人才占比达60%以上的，得0.5分；在职部门高学历人才占比达30%以上的，得0.3分；在职部门高学历人才占比低于30%的，得0分。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科技支撑（2分）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信息化建设情况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部门(单位)是否充分运用信息化手段提升工作效率及管理效能。</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信息化在业务中应用的比率80%以上，得1分；应用的比率60%以上，得0.5分；应用的比率60%以下，得0分；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blPrEx>
          <w:tblCellMar>
            <w:top w:w="0" w:type="dxa"/>
            <w:left w:w="108" w:type="dxa"/>
            <w:bottom w:w="0" w:type="dxa"/>
            <w:right w:w="108" w:type="dxa"/>
          </w:tblCellMar>
        </w:tblPrEx>
        <w:trPr>
          <w:trHeight w:val="96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新技术应用情况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政府、行业管理新技术在整个部门的使用情况</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绩效创新型</w:t>
            </w:r>
          </w:p>
        </w:tc>
        <w:tc>
          <w:tcPr>
            <w:tcW w:w="4314"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宋体"/>
                <w:kern w:val="0"/>
                <w:sz w:val="20"/>
                <w:szCs w:val="20"/>
              </w:rPr>
            </w:pPr>
            <w:r>
              <w:rPr>
                <w:rFonts w:hint="eastAsia" w:ascii="宋体" w:hAnsi="宋体" w:cs="宋体"/>
                <w:color w:val="000000"/>
                <w:kern w:val="0"/>
                <w:sz w:val="20"/>
                <w:szCs w:val="20"/>
                <w:lang w:bidi="ar"/>
              </w:rPr>
              <w:t>新技术创新有效应用的比率80%以上，得1分；应用的比率60%以上，得0.5分；应用的比率60%以下，得0分；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r>
      <w:tr>
        <w:trPr>
          <w:trHeight w:val="1762" w:hRule="atLeast"/>
        </w:trPr>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服务对象满意度（4分）</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服务对象满意度（2分）</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部门服务的外部对象对部门履职效果的认可度</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服务对象以及社会公众对部门履职效果的认可程度。</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431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lang w:bidi="ar"/>
              </w:rPr>
              <w:t>满意度≥90%，得满分，每减少1%，扣2%的权重分，扣完为止</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1830" w:hRule="atLeast"/>
        </w:trPr>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联系部门满意度（2分）</w:t>
            </w:r>
          </w:p>
        </w:tc>
        <w:tc>
          <w:tcPr>
            <w:tcW w:w="0" w:type="auto"/>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部门内部相关人员对部门履职效果的认可度</w:t>
            </w:r>
          </w:p>
        </w:tc>
        <w:tc>
          <w:tcPr>
            <w:tcW w:w="0" w:type="auto"/>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single" w:color="auto" w:sz="4" w:space="0"/>
              <w:left w:val="nil"/>
              <w:bottom w:val="nil"/>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绩效基本型</w:t>
            </w:r>
          </w:p>
        </w:tc>
        <w:tc>
          <w:tcPr>
            <w:tcW w:w="0" w:type="auto"/>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0" w:type="auto"/>
            <w:tcBorders>
              <w:top w:val="nil"/>
              <w:left w:val="nil"/>
              <w:bottom w:val="nil"/>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288" w:hRule="atLeast"/>
        </w:trPr>
        <w:tc>
          <w:tcPr>
            <w:tcW w:w="0" w:type="auto"/>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0" w:type="auto"/>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89.81</w:t>
            </w:r>
          </w:p>
        </w:tc>
      </w:tr>
    </w:tbl>
    <w:p/>
    <w:p>
      <w:pPr>
        <w:rPr>
          <w:rFonts w:ascii="黑体" w:hAnsi="黑体" w:eastAsia="黑体" w:cs="黑体"/>
          <w:sz w:val="32"/>
          <w:szCs w:val="32"/>
        </w:rPr>
        <w:sectPr>
          <w:pgSz w:w="16838" w:h="11906" w:orient="landscape"/>
          <w:pgMar w:top="851" w:right="851" w:bottom="851" w:left="851" w:header="851" w:footer="992" w:gutter="0"/>
          <w:cols w:space="0" w:num="1"/>
          <w:docGrid w:type="lines" w:linePitch="315" w:charSpace="0"/>
        </w:sectPr>
      </w:pPr>
      <w:r>
        <w:rPr>
          <w:rFonts w:hint="eastAsia" w:ascii="黑体" w:hAnsi="黑体" w:eastAsia="黑体" w:cs="黑体"/>
          <w:sz w:val="32"/>
          <w:szCs w:val="32"/>
        </w:rPr>
        <w:br w:type="page"/>
      </w:r>
    </w:p>
    <w:p>
      <w:pPr>
        <w:pStyle w:val="2"/>
      </w:pPr>
    </w:p>
    <w:p>
      <w:pPr>
        <w:pStyle w:val="2"/>
        <w:spacing w:line="560" w:lineRule="exact"/>
        <w:ind w:firstLine="640" w:firstLineChars="200"/>
        <w:outlineLvl w:val="0"/>
        <w:rPr>
          <w:rFonts w:ascii="黑体" w:hAnsi="黑体" w:eastAsia="黑体" w:cs="黑体"/>
          <w:sz w:val="32"/>
          <w:szCs w:val="32"/>
        </w:rPr>
      </w:pPr>
      <w:bookmarkStart w:id="6" w:name="_Toc1731"/>
      <w:r>
        <w:rPr>
          <w:rFonts w:hint="eastAsia" w:ascii="黑体" w:hAnsi="黑体" w:eastAsia="黑体" w:cs="黑体"/>
          <w:sz w:val="32"/>
          <w:szCs w:val="32"/>
        </w:rPr>
        <w:t>二、佐证材料</w:t>
      </w:r>
      <w:bookmarkEnd w:id="6"/>
    </w:p>
    <w:p>
      <w:pPr>
        <w:pStyle w:val="2"/>
        <w:spacing w:line="560" w:lineRule="exact"/>
        <w:ind w:firstLine="643" w:firstLineChars="200"/>
        <w:outlineLvl w:val="1"/>
        <w:rPr>
          <w:rFonts w:ascii="楷体_GB2312" w:hAnsi="楷体_GB2312" w:eastAsia="楷体_GB2312" w:cs="楷体_GB2312"/>
          <w:b/>
          <w:bCs/>
          <w:sz w:val="32"/>
          <w:szCs w:val="32"/>
        </w:rPr>
      </w:pPr>
      <w:bookmarkStart w:id="7" w:name="_Toc17407"/>
      <w:r>
        <w:rPr>
          <w:rFonts w:hint="eastAsia" w:ascii="楷体_GB2312" w:hAnsi="楷体_GB2312" w:eastAsia="楷体_GB2312" w:cs="楷体_GB2312"/>
          <w:b/>
          <w:bCs/>
          <w:sz w:val="32"/>
          <w:szCs w:val="32"/>
        </w:rPr>
        <w:t>（一）基本情况</w:t>
      </w:r>
      <w:bookmarkEnd w:id="7"/>
    </w:p>
    <w:p>
      <w:pPr>
        <w:spacing w:line="560" w:lineRule="exact"/>
        <w:ind w:firstLine="640" w:firstLineChars="200"/>
        <w:outlineLvl w:val="2"/>
        <w:rPr>
          <w:rFonts w:ascii="仿宋_GB2312" w:hAnsi="Times New Roman" w:eastAsia="仿宋_GB2312"/>
          <w:sz w:val="32"/>
          <w:szCs w:val="32"/>
        </w:rPr>
      </w:pPr>
      <w:bookmarkStart w:id="8" w:name="_Toc2985"/>
      <w:bookmarkStart w:id="9" w:name="_Toc111133035"/>
      <w:bookmarkStart w:id="10" w:name="_Toc11841"/>
      <w:bookmarkStart w:id="11" w:name="_Toc22279"/>
      <w:r>
        <w:rPr>
          <w:rFonts w:hint="eastAsia" w:ascii="仿宋_GB2312" w:hAnsi="Times New Roman" w:eastAsia="仿宋_GB2312"/>
          <w:sz w:val="32"/>
          <w:szCs w:val="32"/>
        </w:rPr>
        <w:t>1.部门支出情况</w:t>
      </w:r>
      <w:bookmarkEnd w:id="8"/>
      <w:bookmarkEnd w:id="9"/>
    </w:p>
    <w:p>
      <w:pPr>
        <w:spacing w:line="560" w:lineRule="exact"/>
        <w:ind w:firstLine="640" w:firstLineChars="200"/>
        <w:rPr>
          <w:rFonts w:ascii="仿宋_GB2312" w:hAnsi="仿宋" w:eastAsia="仿宋_GB2312"/>
          <w:sz w:val="32"/>
          <w:szCs w:val="32"/>
        </w:rPr>
      </w:pPr>
      <w:bookmarkStart w:id="12" w:name="_Toc111133036"/>
      <w:r>
        <w:rPr>
          <w:rFonts w:hint="eastAsia" w:ascii="仿宋_GB2312" w:hAnsi="仿宋" w:eastAsia="仿宋_GB2312"/>
          <w:sz w:val="32"/>
          <w:szCs w:val="32"/>
        </w:rPr>
        <w:t>a)部门整体预算安排情况</w:t>
      </w:r>
      <w:bookmarkEnd w:id="12"/>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北港镇人民政府部门年初预算数为1,970.02万元，调整预算数1,488.54万元。其中，人员经费年初预算数1,238.95万元，调整预算数692.62万元；公用经费年初预算数681.07万元，调整预算数139.89万元；项目支出年初预算数50万元，调整预算数656.03万元。</w:t>
      </w:r>
    </w:p>
    <w:p>
      <w:pPr>
        <w:spacing w:line="560" w:lineRule="exact"/>
        <w:ind w:firstLine="640" w:firstLineChars="200"/>
        <w:outlineLvl w:val="2"/>
        <w:rPr>
          <w:rFonts w:ascii="仿宋_GB2312" w:hAnsi="仿宋" w:eastAsia="仿宋_GB2312"/>
          <w:sz w:val="32"/>
          <w:szCs w:val="32"/>
        </w:rPr>
      </w:pPr>
      <w:bookmarkStart w:id="13" w:name="_Toc23296"/>
      <w:r>
        <w:rPr>
          <w:rFonts w:hint="eastAsia" w:ascii="仿宋_GB2312" w:hAnsi="仿宋" w:eastAsia="仿宋_GB2312"/>
          <w:sz w:val="32"/>
          <w:szCs w:val="32"/>
        </w:rPr>
        <w:t>2.部门整体决算支出情况</w:t>
      </w:r>
      <w:bookmarkEnd w:id="13"/>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2022年北港镇人民政府部门决算数为1,488.54万元，其中人员经费692.62万元，公用经费139.89万元，项目支出656.03万元，年度无结转结余。</w:t>
      </w:r>
    </w:p>
    <w:p>
      <w:pPr>
        <w:spacing w:line="560" w:lineRule="exact"/>
        <w:ind w:firstLine="640" w:firstLineChars="200"/>
        <w:outlineLvl w:val="2"/>
        <w:rPr>
          <w:rFonts w:ascii="仿宋_GB2312" w:hAnsi="Times New Roman" w:eastAsia="仿宋_GB2312"/>
          <w:sz w:val="32"/>
          <w:szCs w:val="32"/>
        </w:rPr>
      </w:pPr>
      <w:bookmarkStart w:id="14" w:name="_Toc111133037"/>
      <w:bookmarkStart w:id="15" w:name="_Toc19627"/>
      <w:r>
        <w:rPr>
          <w:rFonts w:hint="eastAsia" w:ascii="仿宋_GB2312" w:hAnsi="Times New Roman" w:eastAsia="仿宋_GB2312"/>
          <w:sz w:val="32"/>
          <w:szCs w:val="32"/>
        </w:rPr>
        <w:t>3.县委县政府布置的重点工作</w:t>
      </w:r>
      <w:bookmarkEnd w:id="14"/>
      <w:bookmarkEnd w:id="15"/>
    </w:p>
    <w:bookmarkEnd w:id="10"/>
    <w:bookmarkEnd w:id="11"/>
    <w:p>
      <w:pPr>
        <w:pStyle w:val="2"/>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统筹推进疫情防控和经济社会发展，巩固拓展脱贫成果，乡村振兴迈上新台阶；项目建设稳步推进，基础设施日趋完善；农村建设持续发力，农业生产稳中有进；民生保障有力有效，群众幸福指数提升；平安建设持续深化，社会更加和谐稳定。</w:t>
      </w:r>
    </w:p>
    <w:p>
      <w:pPr>
        <w:pStyle w:val="2"/>
        <w:spacing w:line="560" w:lineRule="exact"/>
        <w:ind w:firstLine="640" w:firstLineChars="200"/>
        <w:outlineLvl w:val="2"/>
        <w:rPr>
          <w:rFonts w:ascii="仿宋_GB2312" w:hAnsi="Times New Roman" w:eastAsia="仿宋_GB2312"/>
          <w:sz w:val="32"/>
          <w:szCs w:val="32"/>
        </w:rPr>
      </w:pPr>
      <w:bookmarkStart w:id="16" w:name="_Toc8326"/>
      <w:r>
        <w:rPr>
          <w:rFonts w:hint="eastAsia" w:ascii="仿宋_GB2312" w:hAnsi="Times New Roman" w:eastAsia="仿宋_GB2312"/>
          <w:sz w:val="32"/>
          <w:szCs w:val="32"/>
        </w:rPr>
        <w:t>4.2022年北港镇整体绩效目标</w:t>
      </w:r>
      <w:bookmarkEnd w:id="16"/>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（1）大力推进项目建设。紧扣县委、县政府的重大战略部署，充分发挥我们的区位优势、交通优势，科学编制“十四五”规划，谋划实施一批打基础、利长远的重大项目。</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（2）巩固脱贫攻坚成效。进一步扛起政治责任、压实工作责任、强化监督责任、落实帮扶责任，确保存量贫困人口全部脱贫。</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（3）建设美丽村镇。要强化规划建设管控，提升农村住房建设水平，努力打造一批美丽民居、美丽庭院、美丽村湾、美丽街道。</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（4）抓实疫情常态化防控。加强宣传教育引导，提高人民群众疫情防控意识，构建群防群控、联防联治防线。</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（5）全力维护社会大局稳定。严格食品药品监管，强化安全生产整治监管，坚决遏制重特大事故发生。发挥好“一村一辅警”作用，加强党建引领基层治理，进一步提升基层治理能力和治理水平。</w:t>
      </w:r>
    </w:p>
    <w:p>
      <w:pPr>
        <w:pStyle w:val="2"/>
        <w:spacing w:line="560" w:lineRule="exact"/>
        <w:ind w:firstLine="643" w:firstLineChars="200"/>
        <w:outlineLvl w:val="1"/>
        <w:rPr>
          <w:rFonts w:ascii="楷体_GB2312" w:hAnsi="楷体_GB2312" w:eastAsia="楷体_GB2312" w:cs="楷体_GB2312"/>
          <w:b/>
          <w:bCs/>
          <w:sz w:val="32"/>
          <w:szCs w:val="32"/>
        </w:rPr>
      </w:pPr>
      <w:bookmarkStart w:id="17" w:name="_Toc4752"/>
      <w:r>
        <w:rPr>
          <w:rFonts w:hint="eastAsia" w:ascii="楷体_GB2312" w:hAnsi="楷体_GB2312" w:eastAsia="楷体_GB2312" w:cs="楷体_GB2312"/>
          <w:b/>
          <w:bCs/>
          <w:sz w:val="32"/>
          <w:szCs w:val="32"/>
        </w:rPr>
        <w:t>（二）绩效评价工作开展情况</w:t>
      </w:r>
      <w:bookmarkEnd w:id="17"/>
    </w:p>
    <w:p>
      <w:pPr>
        <w:pStyle w:val="2"/>
        <w:spacing w:line="560" w:lineRule="exact"/>
        <w:ind w:firstLine="643" w:firstLineChars="200"/>
        <w:outlineLvl w:val="2"/>
        <w:rPr>
          <w:rFonts w:ascii="仿宋_GB2312" w:hAnsi="Times New Roman" w:eastAsia="仿宋_GB2312"/>
          <w:b/>
          <w:bCs/>
          <w:sz w:val="32"/>
          <w:szCs w:val="32"/>
        </w:rPr>
      </w:pPr>
      <w:bookmarkStart w:id="18" w:name="_Toc31505"/>
      <w:r>
        <w:rPr>
          <w:rFonts w:hint="eastAsia" w:ascii="仿宋_GB2312" w:hAnsi="Times New Roman" w:eastAsia="仿宋_GB2312"/>
          <w:b/>
          <w:bCs/>
          <w:sz w:val="32"/>
          <w:szCs w:val="32"/>
        </w:rPr>
        <w:t>1.评价目的</w:t>
      </w:r>
      <w:bookmarkEnd w:id="18"/>
    </w:p>
    <w:p>
      <w:pPr>
        <w:pStyle w:val="2"/>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全面了解部门整体预算资金投入计划执行结果、资金管理与使用，绩效产出与效果，切实提高财政资源配置效率与使用效益。考核财政支出与实现绩效目标的匹配性，完善资金支出绩效目标管理，确保绩效目标设定的科学性与合理性。同时促使资金使用单位树立绩效管理意识及风险控制意识，以问题为导向，进一步完善项目资金管理，提高财政资金管理最优化、效益最大化。</w:t>
      </w:r>
    </w:p>
    <w:p>
      <w:pPr>
        <w:spacing w:line="560" w:lineRule="exact"/>
        <w:ind w:firstLine="643" w:firstLineChars="200"/>
        <w:outlineLvl w:val="2"/>
        <w:rPr>
          <w:rFonts w:ascii="仿宋_GB2312" w:hAnsi="仿宋_GB2312" w:eastAsia="仿宋_GB2312" w:cs="仿宋_GB2312"/>
          <w:b/>
          <w:sz w:val="32"/>
          <w:szCs w:val="32"/>
        </w:rPr>
      </w:pPr>
      <w:bookmarkStart w:id="19" w:name="_Toc12130"/>
      <w:r>
        <w:rPr>
          <w:rFonts w:hint="eastAsia" w:ascii="仿宋_GB2312" w:hAnsi="仿宋_GB2312" w:eastAsia="仿宋_GB2312" w:cs="仿宋_GB2312"/>
          <w:b/>
          <w:sz w:val="32"/>
          <w:szCs w:val="32"/>
        </w:rPr>
        <w:t>2.</w:t>
      </w:r>
      <w:bookmarkStart w:id="20" w:name="_Toc6253"/>
      <w:r>
        <w:rPr>
          <w:rFonts w:hint="eastAsia" w:ascii="仿宋_GB2312" w:hAnsi="仿宋_GB2312" w:eastAsia="仿宋_GB2312" w:cs="仿宋_GB2312"/>
          <w:b/>
          <w:sz w:val="32"/>
          <w:szCs w:val="32"/>
        </w:rPr>
        <w:t>评价对象及范围</w:t>
      </w:r>
      <w:bookmarkEnd w:id="19"/>
      <w:bookmarkEnd w:id="20"/>
    </w:p>
    <w:p>
      <w:pPr>
        <w:spacing w:line="560" w:lineRule="exact"/>
        <w:ind w:firstLine="640" w:firstLineChars="200"/>
        <w:rPr>
          <w:rFonts w:ascii="仿宋_GB2312" w:hAnsi="仿宋_GB2312" w:eastAsia="仿宋_GB2312" w:cs="仿宋_GB2312"/>
          <w:sz w:val="32"/>
          <w:szCs w:val="32"/>
        </w:rPr>
      </w:pPr>
      <w:bookmarkStart w:id="21" w:name="_Toc19394"/>
      <w:r>
        <w:rPr>
          <w:rFonts w:hint="eastAsia" w:ascii="仿宋_GB2312" w:hAnsi="仿宋" w:eastAsia="仿宋_GB2312"/>
          <w:sz w:val="32"/>
          <w:szCs w:val="32"/>
        </w:rPr>
        <w:t>本次评价对象为</w:t>
      </w:r>
      <w:r>
        <w:rPr>
          <w:rFonts w:hint="eastAsia" w:ascii="仿宋_GB2312" w:hAnsi="仿宋_GB2312" w:eastAsia="仿宋_GB2312" w:cs="仿宋_GB2312"/>
          <w:sz w:val="32"/>
          <w:szCs w:val="32"/>
        </w:rPr>
        <w:t>北港镇人民政府2022年部门整体支出</w:t>
      </w:r>
      <w:r>
        <w:rPr>
          <w:rFonts w:hint="eastAsia" w:ascii="仿宋_GB2312" w:hAnsi="仿宋" w:eastAsia="仿宋_GB2312"/>
          <w:sz w:val="32"/>
          <w:szCs w:val="32"/>
        </w:rPr>
        <w:t>1,488.54</w:t>
      </w:r>
      <w:r>
        <w:rPr>
          <w:rFonts w:hint="eastAsia" w:ascii="仿宋_GB2312" w:hAnsi="仿宋_GB2312" w:eastAsia="仿宋_GB2312" w:cs="仿宋_GB2312"/>
          <w:sz w:val="32"/>
          <w:szCs w:val="32"/>
        </w:rPr>
        <w:t>万元的绩效。</w:t>
      </w:r>
      <w:bookmarkEnd w:id="21"/>
    </w:p>
    <w:p>
      <w:pPr>
        <w:spacing w:line="560" w:lineRule="exact"/>
        <w:ind w:firstLine="643" w:firstLineChars="200"/>
        <w:outlineLvl w:val="2"/>
        <w:rPr>
          <w:rFonts w:ascii="仿宋_GB2312" w:hAnsi="仿宋" w:eastAsia="仿宋_GB2312"/>
          <w:b/>
          <w:bCs/>
          <w:sz w:val="32"/>
          <w:szCs w:val="32"/>
        </w:rPr>
      </w:pPr>
      <w:bookmarkStart w:id="22" w:name="_Toc3043"/>
      <w:bookmarkStart w:id="23" w:name="_Toc32581"/>
      <w:bookmarkStart w:id="24" w:name="_Toc28112"/>
      <w:r>
        <w:rPr>
          <w:rFonts w:hint="eastAsia" w:ascii="仿宋_GB2312" w:hAnsi="仿宋" w:eastAsia="仿宋_GB2312"/>
          <w:b/>
          <w:bCs/>
          <w:sz w:val="32"/>
          <w:szCs w:val="32"/>
        </w:rPr>
        <w:t>3.评价内容</w:t>
      </w:r>
      <w:bookmarkEnd w:id="22"/>
      <w:bookmarkEnd w:id="23"/>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从部门整体运行成本、管理效率、履职效能、社会效应、可持续发展能力、服务对象满意度六大维度及其各维度细分评价指标及标准对部门整体实施绩效进行综合评价。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运行成本。主要评价公用经费控制、在职人员控制和项目支出成本控制，包括公用经费控制、在职人员控制率、会议费控制率、“三公经费”变动率等。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管理效率。主要评价部门战略管理、预算编制、预算执行、绩效管理、资产管理、财务管理，包括中长期规划相符性、工作计划健全性、预算编制科学性、预算编制合理性、立项规范性、预算调整率、预算执行率、结转结余率、政府采购执行率、非税收入预算完成率、事前绩效评估完成率、绩效目标合理性、绩效监控开展率、绩效评价覆盖率、评价结果应用率、资产管理制度健全性、资产管理规范性、财务管理制度健全性、会计核算规范性、资金使用规范性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履职效能。根据上级部门下达的年度绩效管理目标责任书和年度部门职能职责工作目标，主要评价部门职责履行及重点工作完成情况。</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社会效应。主要评价部门履职对经济、社会、环境等带来的影响。</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可持续发展能力。主要评价部门体制机制改革、人才支撑、科技支撑，包括服务体制改革成效、行政管理体制改革成效、业务学习与培训完成率、干部队伍体系建设规划情况、高学历、高层次人才储备率、信息化建设情况、新技术应用情况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服务对象满意度。主要评价服务对象满意度、联系部门满意度。</w:t>
      </w:r>
      <w:bookmarkEnd w:id="24"/>
    </w:p>
    <w:p>
      <w:pPr>
        <w:spacing w:line="560" w:lineRule="exact"/>
        <w:ind w:firstLine="643" w:firstLineChars="200"/>
        <w:outlineLvl w:val="2"/>
        <w:rPr>
          <w:rFonts w:ascii="仿宋_GB2312" w:hAnsi="仿宋_GB2312" w:eastAsia="仿宋_GB2312" w:cs="仿宋_GB2312"/>
          <w:b/>
          <w:bCs/>
          <w:sz w:val="32"/>
          <w:szCs w:val="32"/>
        </w:rPr>
      </w:pPr>
      <w:bookmarkStart w:id="25" w:name="_Toc9070"/>
      <w:bookmarkStart w:id="26" w:name="_Toc5023"/>
      <w:bookmarkStart w:id="27" w:name="_Toc307"/>
      <w:r>
        <w:rPr>
          <w:rFonts w:hint="eastAsia" w:ascii="仿宋_GB2312" w:hAnsi="仿宋_GB2312" w:eastAsia="仿宋_GB2312" w:cs="仿宋_GB2312"/>
          <w:b/>
          <w:sz w:val="32"/>
          <w:szCs w:val="32"/>
        </w:rPr>
        <w:t>4.</w:t>
      </w:r>
      <w:r>
        <w:rPr>
          <w:rFonts w:hint="eastAsia" w:ascii="仿宋_GB2312" w:hAnsi="仿宋_GB2312" w:eastAsia="仿宋_GB2312" w:cs="仿宋_GB2312"/>
          <w:b/>
          <w:bCs/>
          <w:sz w:val="32"/>
          <w:szCs w:val="32"/>
        </w:rPr>
        <w:t>评价工作组织</w:t>
      </w:r>
      <w:bookmarkEnd w:id="25"/>
      <w:bookmarkEnd w:id="26"/>
      <w:bookmarkEnd w:id="27"/>
    </w:p>
    <w:p>
      <w:pPr>
        <w:spacing w:line="560" w:lineRule="exact"/>
        <w:ind w:firstLine="640" w:firstLineChars="200"/>
        <w:rPr>
          <w:rFonts w:ascii="仿宋_GB2312" w:hAnsi="仿宋_GB2312" w:eastAsia="仿宋_GB2312" w:cs="仿宋_GB2312"/>
          <w:sz w:val="32"/>
          <w:szCs w:val="32"/>
        </w:rPr>
      </w:pPr>
      <w:bookmarkStart w:id="28" w:name="_Toc11605"/>
      <w:r>
        <w:rPr>
          <w:rFonts w:hint="eastAsia" w:ascii="仿宋_GB2312" w:hAnsi="仿宋_GB2312" w:eastAsia="仿宋_GB2312" w:cs="仿宋_GB2312"/>
          <w:sz w:val="32"/>
          <w:szCs w:val="32"/>
        </w:rPr>
        <w:t>湖北恒信会计师事务有限公司受通城县财政局的委托，开展本次绩效评价工作，根据湖北省预算绩效管理《第三方机构参与预算绩效管理工作行为规范》的要求，积极组织开展评价工作。</w:t>
      </w:r>
    </w:p>
    <w:p>
      <w:pPr>
        <w:spacing w:line="560" w:lineRule="exact"/>
        <w:ind w:firstLine="640" w:firstLineChars="200"/>
        <w:rPr>
          <w:rFonts w:ascii="仿宋" w:hAnsi="仿宋" w:eastAsia="仿宋" w:cs="宋体"/>
          <w:sz w:val="32"/>
          <w:szCs w:val="32"/>
        </w:rPr>
      </w:pPr>
      <w:bookmarkStart w:id="29" w:name="_Toc3909"/>
      <w:r>
        <w:rPr>
          <w:rFonts w:hint="eastAsia" w:ascii="仿宋" w:hAnsi="仿宋" w:eastAsia="仿宋" w:cs="宋体"/>
          <w:sz w:val="32"/>
          <w:szCs w:val="32"/>
        </w:rPr>
        <w:t>（1）准备阶段（6月19日-7月10日）。成立评价工作组，根据本次绩效评价工作的目标、任务及要求，由公司熟悉预算绩效管理政策、工作经验丰富并在财政支出评价和相关行业领域的专业人员组成本次绩效评价工作小组，并由2名主评人参与主导。</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评价工作组向通城县财政局和</w:t>
      </w:r>
      <w:r>
        <w:rPr>
          <w:rFonts w:hint="eastAsia" w:ascii="仿宋_GB2312" w:hAnsi="仿宋_GB2312" w:eastAsia="仿宋_GB2312" w:cs="仿宋_GB2312"/>
          <w:sz w:val="32"/>
          <w:szCs w:val="32"/>
        </w:rPr>
        <w:t>北港镇人民政府</w:t>
      </w:r>
      <w:r>
        <w:rPr>
          <w:rFonts w:hint="eastAsia" w:ascii="仿宋" w:hAnsi="仿宋" w:eastAsia="仿宋" w:cs="宋体"/>
          <w:sz w:val="32"/>
          <w:szCs w:val="32"/>
        </w:rPr>
        <w:t>了解部门相关情况，制定评价工作具体方案，设计评价指标体系。</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 xml:space="preserve">（2）实施阶段（7月11日-8月15日）。评价工作组进点被评单位，并组织开展专题座谈、访谈，实地勘察核查，了解单位职能职责、核查部门整体支出情况、部门履职情况，考核部门整体支出绩效目标的实现程度，实施问卷调查等工作。查阅取证，收集评价相关信息资料。 </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3）报告阶段（8月16日-8月31日）。评价工作组对收集到的评价信息资料进行统计、整理与分析，根据评价基础数据及信息资料统计、整理分析结果，对照整体支出绩效评价指标体系具体指标及评分标准进行综合分析评价及指标得分计算，作出初步评价结论，撰写并完成评价报告初稿，提交通城县财政局及相关被评价单位征询意见。根据反馈意见修改、调整、完善评价报告初稿，并正式提交报告。</w:t>
      </w:r>
    </w:p>
    <w:p>
      <w:pPr>
        <w:spacing w:line="560" w:lineRule="exact"/>
        <w:ind w:firstLine="607" w:firstLineChars="189"/>
        <w:outlineLvl w:val="2"/>
        <w:rPr>
          <w:rFonts w:ascii="仿宋_GB2312" w:hAnsi="仿宋_GB2312" w:eastAsia="仿宋_GB2312" w:cs="仿宋_GB2312"/>
          <w:b/>
          <w:sz w:val="32"/>
          <w:szCs w:val="32"/>
        </w:rPr>
      </w:pPr>
      <w:bookmarkStart w:id="30" w:name="_Toc23353"/>
      <w:r>
        <w:rPr>
          <w:rFonts w:hint="eastAsia" w:ascii="仿宋_GB2312" w:hAnsi="仿宋_GB2312" w:eastAsia="仿宋_GB2312" w:cs="仿宋_GB2312"/>
          <w:b/>
          <w:sz w:val="32"/>
          <w:szCs w:val="32"/>
        </w:rPr>
        <w:t>5.绩效评价框架</w:t>
      </w:r>
      <w:bookmarkEnd w:id="28"/>
      <w:bookmarkEnd w:id="29"/>
      <w:bookmarkEnd w:id="30"/>
    </w:p>
    <w:p>
      <w:pPr>
        <w:spacing w:line="560" w:lineRule="exact"/>
        <w:ind w:firstLine="643" w:firstLineChars="200"/>
        <w:rPr>
          <w:rFonts w:ascii="仿宋_GB2312" w:hAnsi="仿宋_GB2312" w:eastAsia="仿宋_GB2312" w:cs="仿宋_GB2312"/>
          <w:b/>
          <w:sz w:val="32"/>
          <w:szCs w:val="32"/>
        </w:rPr>
      </w:pPr>
      <w:bookmarkStart w:id="31" w:name="_Toc22451"/>
      <w:r>
        <w:rPr>
          <w:rFonts w:hint="eastAsia" w:ascii="仿宋_GB2312" w:hAnsi="仿宋_GB2312" w:eastAsia="仿宋_GB2312" w:cs="仿宋_GB2312"/>
          <w:b/>
          <w:sz w:val="32"/>
          <w:szCs w:val="32"/>
        </w:rPr>
        <w:t>（1）评价原则</w:t>
      </w:r>
      <w:bookmarkEnd w:id="31"/>
    </w:p>
    <w:p>
      <w:pPr>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a）客观公正、科学规范原则。按照“公开、公平、公正”的要求，采用科学、规范的评价程序和操作方案，准确全面地衡量专项资金的绩效情况。</w:t>
      </w:r>
    </w:p>
    <w:p>
      <w:pPr>
        <w:spacing w:line="56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b</w:t>
      </w:r>
      <w:r>
        <w:rPr>
          <w:rFonts w:hint="eastAsia" w:ascii="仿宋_GB2312" w:hAnsi="仿宋" w:eastAsia="仿宋_GB2312" w:cs="宋体"/>
          <w:sz w:val="32"/>
          <w:szCs w:val="32"/>
        </w:rPr>
        <w:t>）目标导向原则。以部门资金的预期绩效目标为导向，重点评价专项资金目标的合理性、相关性、目标实现程度、相对于目标实现程度的效率及项目成效的可持续性。</w:t>
      </w:r>
    </w:p>
    <w:p>
      <w:pPr>
        <w:spacing w:line="560" w:lineRule="exact"/>
        <w:ind w:firstLine="640" w:firstLineChars="200"/>
        <w:rPr>
          <w:rFonts w:ascii="仿宋_GB2312" w:hAnsi="仿宋_GB2312" w:eastAsia="仿宋_GB2312" w:cs="仿宋_GB2312"/>
          <w:sz w:val="32"/>
          <w:szCs w:val="32"/>
        </w:rPr>
      </w:pPr>
      <w:r>
        <w:rPr>
          <w:rFonts w:ascii="仿宋_GB2312" w:hAnsi="仿宋" w:eastAsia="仿宋_GB2312" w:cs="宋体"/>
          <w:sz w:val="32"/>
          <w:szCs w:val="32"/>
        </w:rPr>
        <w:t>c</w:t>
      </w:r>
      <w:r>
        <w:rPr>
          <w:rFonts w:hint="eastAsia" w:ascii="仿宋_GB2312" w:hAnsi="仿宋" w:eastAsia="仿宋_GB2312" w:cs="宋体"/>
          <w:sz w:val="32"/>
          <w:szCs w:val="32"/>
        </w:rPr>
        <w:t>）定性与定量相结合原则。以量化指标测定分值的基础上，结合项目实施效果和管理工作情况进行综合评价分析。</w:t>
      </w:r>
    </w:p>
    <w:p>
      <w:pPr>
        <w:spacing w:line="560" w:lineRule="exact"/>
        <w:ind w:firstLine="643" w:firstLineChars="200"/>
        <w:rPr>
          <w:rFonts w:ascii="仿宋_GB2312" w:hAnsi="仿宋_GB2312" w:eastAsia="仿宋_GB2312" w:cs="仿宋_GB2312"/>
          <w:b/>
          <w:sz w:val="32"/>
          <w:szCs w:val="32"/>
        </w:rPr>
      </w:pPr>
      <w:bookmarkStart w:id="32" w:name="_Toc30538"/>
      <w:r>
        <w:rPr>
          <w:rFonts w:hint="eastAsia" w:ascii="仿宋_GB2312" w:hAnsi="仿宋_GB2312" w:eastAsia="仿宋_GB2312" w:cs="仿宋_GB2312"/>
          <w:b/>
          <w:sz w:val="32"/>
          <w:szCs w:val="32"/>
        </w:rPr>
        <w:t>（2）评价依据</w:t>
      </w:r>
      <w:bookmarkEnd w:id="32"/>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《中华人民共和国预算法》；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《中共中央 国务院关于全面实施预算绩效管理的意见》(中发〔2018〕34号)；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《湖北省财政厅关于印发全面实施预算绩效管理系列制度的通知》（鄂财绩发〔2020〕3号）；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《省财政厅关于印发《湖北省省直部门整体绩效管理暂行办法》的通知》（鄂财绩发〔2023〕4号）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通城县财政局《关于开展2022年度预算单位重点绩效评价工作的通知》（隽财发〔2023〕24号）；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资金使用单位项目立项审批及过程文件；评价工作人员取得的其他评价相关资料等。</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（3）评价指标体系</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参照《湖北省省直部门整体绩效管理暂行办法》的要求，按照相关性、重要性、可比性、系统性、经济性及明确性原则，将项目绩效评价指标分为三级及细分评价要点。</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一级指标：设定六个维度，分别为运行成本、管理效率、履职效能、社会效应、可持续发展能力、服务对象满意度。</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二级指标：根据部门整体的特点，对基本指标内容进行细化、分设。</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三级指标：对二级指标进行个性化设置，并确定各指标的标准值或比较值，设定分值和计分标准。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绩效评价指标体系详见报告其他佐证材料1：《</w:t>
      </w:r>
      <w:r>
        <w:rPr>
          <w:rFonts w:hint="eastAsia" w:ascii="仿宋_GB2312" w:hAnsi="仿宋" w:eastAsia="仿宋_GB2312" w:cs="楷体"/>
          <w:sz w:val="32"/>
          <w:szCs w:val="32"/>
        </w:rPr>
        <w:t>北港镇人民政府2022年部门整体支出绩效评价指标体系及评分表</w:t>
      </w:r>
      <w:r>
        <w:rPr>
          <w:rFonts w:hint="eastAsia" w:ascii="仿宋_GB2312" w:hAnsi="仿宋" w:eastAsia="仿宋_GB2312"/>
          <w:sz w:val="32"/>
          <w:szCs w:val="32"/>
        </w:rPr>
        <w:t>》</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 w:eastAsia="仿宋_GB2312" w:cs="楷体"/>
          <w:b/>
          <w:sz w:val="32"/>
          <w:szCs w:val="32"/>
        </w:rPr>
      </w:pPr>
      <w:bookmarkStart w:id="33" w:name="_Toc26216"/>
      <w:r>
        <w:rPr>
          <w:rFonts w:hint="eastAsia" w:ascii="仿宋_GB2312" w:hAnsi="仿宋" w:eastAsia="仿宋_GB2312" w:cs="楷体"/>
          <w:b/>
          <w:sz w:val="32"/>
          <w:szCs w:val="32"/>
        </w:rPr>
        <w:t>（4）绩效标准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根据部门整体特点、评价目的、信息采集、评价环境等客观条件，我们运用下列标准进行评价：</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a）计划标准。以实现部门整体预定的目标、计划、预算、定额等数据作为评价的标准。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b）历史标准。参照部门整体同类指标的历史数据和工作管理结果制定的评价标准。</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c）行业标准。以行业明确规定的指标范围进行参考标准。</w:t>
      </w:r>
    </w:p>
    <w:p>
      <w:pPr>
        <w:spacing w:line="560" w:lineRule="exact"/>
        <w:ind w:firstLine="643" w:firstLineChars="200"/>
        <w:rPr>
          <w:rFonts w:ascii="仿宋_GB2312" w:hAnsi="仿宋" w:eastAsia="仿宋_GB2312" w:cs="楷体"/>
          <w:b/>
          <w:sz w:val="32"/>
          <w:szCs w:val="32"/>
        </w:rPr>
      </w:pPr>
      <w:r>
        <w:rPr>
          <w:rFonts w:hint="eastAsia" w:ascii="仿宋_GB2312" w:hAnsi="仿宋" w:eastAsia="仿宋_GB2312" w:cs="楷体"/>
          <w:b/>
          <w:sz w:val="32"/>
          <w:szCs w:val="32"/>
        </w:rPr>
        <w:t>（5）评价方法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基于部门整体绩效指标评价内容，在评价过程中我们交叉采用下列方法：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a）目标比较法。将部门整体运行结果情况与预定目标的比较，分析目标实现程度的方法。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b）成本效益分析法。将投入与产出、效益进行关联性分析的方法。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c）因素分析法。综合分析影响绩效目标实现、实施效果的内外部因素的方法。</w:t>
      </w:r>
    </w:p>
    <w:p>
      <w:pPr>
        <w:spacing w:line="560" w:lineRule="exact"/>
        <w:ind w:firstLine="560"/>
        <w:rPr>
          <w:rFonts w:ascii="仿宋_GB2312" w:hAnsi="仿宋" w:eastAsia="仿宋_GB2312" w:cs="宋体"/>
          <w:sz w:val="32"/>
          <w:szCs w:val="32"/>
        </w:rPr>
      </w:pPr>
      <w:r>
        <w:rPr>
          <w:rFonts w:hint="eastAsia" w:ascii="仿宋_GB2312" w:hAnsi="仿宋" w:eastAsia="仿宋_GB2312" w:cs="宋体"/>
          <w:sz w:val="32"/>
          <w:szCs w:val="32"/>
        </w:rPr>
        <w:t>d）公众评判法。针对部分支出难以直接用量化的指标计量其支出效益的，通过公众调查方式进行评判的方法。</w:t>
      </w:r>
    </w:p>
    <w:p>
      <w:pPr>
        <w:spacing w:line="560" w:lineRule="exact"/>
        <w:ind w:firstLine="570"/>
        <w:rPr>
          <w:rFonts w:ascii="仿宋_GB2312" w:hAnsi="仿宋_GB2312" w:eastAsia="仿宋_GB2312" w:cs="仿宋_GB2312"/>
          <w:b/>
          <w:sz w:val="32"/>
          <w:szCs w:val="32"/>
        </w:rPr>
      </w:pPr>
      <w:r>
        <w:rPr>
          <w:rFonts w:hint="eastAsia" w:ascii="仿宋_GB2312" w:hAnsi="仿宋_GB2312" w:eastAsia="仿宋_GB2312" w:cs="仿宋_GB2312"/>
          <w:b/>
          <w:sz w:val="32"/>
          <w:szCs w:val="32"/>
        </w:rPr>
        <w:t>（6）评价结果</w:t>
      </w:r>
      <w:bookmarkEnd w:id="33"/>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设计评价考核总分100分计，其中运行成本8分、管理效率22分、履职效能30分、社会效应30分、可持续发展能力6分、服务对象满意度4分。依据湖北省省级预算绩效评价管理暂行办法，将评分结果级别类型分为如下档次：</w:t>
      </w:r>
    </w:p>
    <w:p>
      <w:pPr>
        <w:widowControl/>
        <w:jc w:val="left"/>
        <w:rPr>
          <w:sz w:val="18"/>
          <w:szCs w:val="18"/>
        </w:rPr>
      </w:pPr>
      <w:r>
        <w:br w:type="page"/>
      </w:r>
    </w:p>
    <w:p>
      <w:pPr>
        <w:pStyle w:val="2"/>
      </w:pPr>
    </w:p>
    <w:tbl>
      <w:tblPr>
        <w:tblStyle w:val="10"/>
        <w:tblW w:w="8379" w:type="dxa"/>
        <w:jc w:val="center"/>
        <w:tblLayout w:type="fixed"/>
        <w:tblCellMar>
          <w:top w:w="0" w:type="dxa"/>
          <w:left w:w="108" w:type="dxa"/>
          <w:bottom w:w="0" w:type="dxa"/>
          <w:right w:w="108" w:type="dxa"/>
        </w:tblCellMar>
      </w:tblPr>
      <w:tblGrid>
        <w:gridCol w:w="4603"/>
        <w:gridCol w:w="3776"/>
      </w:tblGrid>
      <w:tr>
        <w:tblPrEx>
          <w:tblCellMar>
            <w:top w:w="0" w:type="dxa"/>
            <w:left w:w="108" w:type="dxa"/>
            <w:bottom w:w="0" w:type="dxa"/>
            <w:right w:w="108" w:type="dxa"/>
          </w:tblCellMar>
        </w:tblPrEx>
        <w:trPr>
          <w:trHeight w:val="886" w:hRule="atLeast"/>
          <w:jc w:val="center"/>
        </w:trPr>
        <w:tc>
          <w:tcPr>
            <w:tcW w:w="8379" w:type="dxa"/>
            <w:gridSpan w:val="2"/>
            <w:tcBorders>
              <w:top w:val="nil"/>
              <w:left w:val="nil"/>
              <w:bottom w:val="single" w:color="auto" w:sz="4" w:space="0"/>
              <w:right w:val="nil"/>
            </w:tcBorders>
            <w:vAlign w:val="center"/>
          </w:tcPr>
          <w:p>
            <w:pPr>
              <w:widowControl/>
              <w:jc w:val="center"/>
              <w:rPr>
                <w:rFonts w:ascii="宋体" w:hAnsi="宋体" w:cs="宋体"/>
                <w:color w:val="000000"/>
                <w:kern w:val="0"/>
                <w:sz w:val="30"/>
                <w:szCs w:val="30"/>
              </w:rPr>
            </w:pPr>
            <w:r>
              <w:rPr>
                <w:rFonts w:hint="eastAsia" w:ascii="宋体" w:hAnsi="宋体" w:cs="宋体"/>
                <w:color w:val="000000"/>
                <w:kern w:val="0"/>
                <w:sz w:val="30"/>
                <w:szCs w:val="30"/>
              </w:rPr>
              <w:t>评分结果级别评定对照表</w:t>
            </w:r>
          </w:p>
        </w:tc>
      </w:tr>
      <w:tr>
        <w:tblPrEx>
          <w:tblCellMar>
            <w:top w:w="0" w:type="dxa"/>
            <w:left w:w="108" w:type="dxa"/>
            <w:bottom w:w="0" w:type="dxa"/>
            <w:right w:w="108" w:type="dxa"/>
          </w:tblCellMar>
        </w:tblPrEx>
        <w:trPr>
          <w:trHeight w:val="553" w:hRule="atLeast"/>
          <w:jc w:val="center"/>
        </w:trPr>
        <w:tc>
          <w:tcPr>
            <w:tcW w:w="46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评分计分结果</w:t>
            </w:r>
          </w:p>
        </w:tc>
        <w:tc>
          <w:tcPr>
            <w:tcW w:w="3776"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24"/>
              </w:rPr>
            </w:pPr>
            <w:r>
              <w:rPr>
                <w:rFonts w:hint="eastAsia" w:ascii="宋体" w:hAnsi="宋体" w:cs="宋体"/>
                <w:b/>
                <w:color w:val="000000"/>
                <w:kern w:val="0"/>
                <w:sz w:val="24"/>
              </w:rPr>
              <w:t>评价结果级别</w:t>
            </w:r>
          </w:p>
        </w:tc>
      </w:tr>
      <w:tr>
        <w:tblPrEx>
          <w:tblCellMar>
            <w:top w:w="0" w:type="dxa"/>
            <w:left w:w="108" w:type="dxa"/>
            <w:bottom w:w="0" w:type="dxa"/>
            <w:right w:w="108" w:type="dxa"/>
          </w:tblCellMar>
        </w:tblPrEx>
        <w:trPr>
          <w:trHeight w:val="433" w:hRule="atLeast"/>
          <w:jc w:val="center"/>
        </w:trPr>
        <w:tc>
          <w:tcPr>
            <w:tcW w:w="46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90-100分（含90分）</w:t>
            </w:r>
          </w:p>
        </w:tc>
        <w:tc>
          <w:tcPr>
            <w:tcW w:w="37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优</w:t>
            </w:r>
          </w:p>
        </w:tc>
      </w:tr>
      <w:tr>
        <w:tblPrEx>
          <w:tblCellMar>
            <w:top w:w="0" w:type="dxa"/>
            <w:left w:w="108" w:type="dxa"/>
            <w:bottom w:w="0" w:type="dxa"/>
            <w:right w:w="108" w:type="dxa"/>
          </w:tblCellMar>
        </w:tblPrEx>
        <w:trPr>
          <w:trHeight w:val="421" w:hRule="atLeast"/>
          <w:jc w:val="center"/>
        </w:trPr>
        <w:tc>
          <w:tcPr>
            <w:tcW w:w="46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80-90分（含80分）</w:t>
            </w:r>
          </w:p>
        </w:tc>
        <w:tc>
          <w:tcPr>
            <w:tcW w:w="37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良</w:t>
            </w:r>
          </w:p>
        </w:tc>
      </w:tr>
      <w:tr>
        <w:tblPrEx>
          <w:tblCellMar>
            <w:top w:w="0" w:type="dxa"/>
            <w:left w:w="108" w:type="dxa"/>
            <w:bottom w:w="0" w:type="dxa"/>
            <w:right w:w="108" w:type="dxa"/>
          </w:tblCellMar>
        </w:tblPrEx>
        <w:trPr>
          <w:trHeight w:val="421" w:hRule="atLeast"/>
          <w:jc w:val="center"/>
        </w:trPr>
        <w:tc>
          <w:tcPr>
            <w:tcW w:w="46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60-80分（含60分）</w:t>
            </w:r>
          </w:p>
        </w:tc>
        <w:tc>
          <w:tcPr>
            <w:tcW w:w="37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中</w:t>
            </w:r>
          </w:p>
        </w:tc>
      </w:tr>
      <w:tr>
        <w:tblPrEx>
          <w:tblCellMar>
            <w:top w:w="0" w:type="dxa"/>
            <w:left w:w="108" w:type="dxa"/>
            <w:bottom w:w="0" w:type="dxa"/>
            <w:right w:w="108" w:type="dxa"/>
          </w:tblCellMar>
        </w:tblPrEx>
        <w:trPr>
          <w:trHeight w:val="556" w:hRule="atLeast"/>
          <w:jc w:val="center"/>
        </w:trPr>
        <w:tc>
          <w:tcPr>
            <w:tcW w:w="460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60以下</w:t>
            </w:r>
          </w:p>
        </w:tc>
        <w:tc>
          <w:tcPr>
            <w:tcW w:w="37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差</w:t>
            </w:r>
          </w:p>
        </w:tc>
      </w:tr>
    </w:tbl>
    <w:p>
      <w:pPr>
        <w:spacing w:line="560" w:lineRule="exact"/>
        <w:ind w:firstLine="643" w:firstLineChars="200"/>
        <w:outlineLvl w:val="2"/>
        <w:rPr>
          <w:rFonts w:ascii="仿宋_GB2312" w:hAnsi="仿宋" w:eastAsia="仿宋_GB2312" w:cs="楷体"/>
          <w:b/>
          <w:sz w:val="32"/>
          <w:szCs w:val="32"/>
        </w:rPr>
      </w:pPr>
      <w:bookmarkStart w:id="34" w:name="_Toc20472"/>
      <w:bookmarkStart w:id="35" w:name="_Toc32545"/>
      <w:bookmarkStart w:id="36" w:name="_Toc22540"/>
      <w:bookmarkStart w:id="37" w:name="_Toc9194"/>
      <w:bookmarkStart w:id="38" w:name="_Toc111133048"/>
      <w:bookmarkStart w:id="39" w:name="_Toc10370"/>
      <w:bookmarkStart w:id="40" w:name="_Toc22560"/>
      <w:r>
        <w:rPr>
          <w:rFonts w:hint="eastAsia" w:ascii="仿宋_GB2312" w:hAnsi="仿宋" w:eastAsia="仿宋_GB2312" w:cs="楷体"/>
          <w:b/>
          <w:sz w:val="32"/>
          <w:szCs w:val="32"/>
        </w:rPr>
        <w:t>6</w:t>
      </w:r>
      <w:r>
        <w:rPr>
          <w:rFonts w:ascii="仿宋_GB2312" w:hAnsi="仿宋" w:eastAsia="仿宋_GB2312" w:cs="楷体"/>
          <w:b/>
          <w:sz w:val="32"/>
          <w:szCs w:val="32"/>
        </w:rPr>
        <w:t>.</w:t>
      </w:r>
      <w:r>
        <w:rPr>
          <w:rFonts w:hint="eastAsia" w:ascii="仿宋_GB2312" w:hAnsi="仿宋" w:eastAsia="仿宋_GB2312" w:cs="楷体"/>
          <w:b/>
          <w:sz w:val="32"/>
          <w:szCs w:val="32"/>
        </w:rPr>
        <w:t>证据收集方法</w:t>
      </w:r>
      <w:bookmarkEnd w:id="34"/>
      <w:bookmarkEnd w:id="35"/>
      <w:bookmarkEnd w:id="36"/>
      <w:bookmarkEnd w:id="37"/>
      <w:bookmarkEnd w:id="38"/>
      <w:bookmarkEnd w:id="39"/>
      <w:bookmarkEnd w:id="40"/>
    </w:p>
    <w:p>
      <w:pPr>
        <w:spacing w:line="560" w:lineRule="exact"/>
        <w:ind w:firstLine="555"/>
        <w:rPr>
          <w:rFonts w:ascii="仿宋_GB2312" w:hAnsi="仿宋" w:eastAsia="仿宋_GB2312" w:cs="宋体"/>
          <w:sz w:val="32"/>
          <w:szCs w:val="32"/>
        </w:rPr>
      </w:pPr>
      <w:r>
        <w:rPr>
          <w:rFonts w:hint="eastAsia" w:ascii="仿宋_GB2312" w:hAnsi="仿宋" w:eastAsia="仿宋_GB2312" w:cs="宋体"/>
          <w:sz w:val="32"/>
          <w:szCs w:val="32"/>
        </w:rPr>
        <w:t>本次绩效评价工作的开展，评价工作组对评价证据及佐证材料的收集主要通过案卷研析、实地调研、座谈和问卷调查等四种形式进行。</w:t>
      </w:r>
    </w:p>
    <w:p>
      <w:pPr>
        <w:spacing w:line="560" w:lineRule="exact"/>
        <w:ind w:firstLine="636" w:firstLineChars="198"/>
        <w:rPr>
          <w:rFonts w:ascii="仿宋_GB2312" w:hAnsi="仿宋" w:eastAsia="仿宋_GB2312" w:cs="宋体"/>
          <w:b/>
          <w:sz w:val="32"/>
          <w:szCs w:val="32"/>
        </w:rPr>
      </w:pPr>
      <w:r>
        <w:rPr>
          <w:rFonts w:hint="eastAsia" w:ascii="仿宋_GB2312" w:hAnsi="仿宋" w:eastAsia="仿宋_GB2312" w:cs="宋体"/>
          <w:b/>
          <w:sz w:val="32"/>
          <w:szCs w:val="32"/>
        </w:rPr>
        <w:t>（1）案卷研析</w:t>
      </w:r>
    </w:p>
    <w:p>
      <w:pPr>
        <w:spacing w:line="560" w:lineRule="exact"/>
        <w:ind w:firstLine="555"/>
        <w:rPr>
          <w:rFonts w:ascii="仿宋_GB2312" w:hAnsi="仿宋" w:eastAsia="仿宋_GB2312" w:cs="宋体"/>
          <w:sz w:val="32"/>
          <w:szCs w:val="32"/>
        </w:rPr>
      </w:pPr>
      <w:r>
        <w:rPr>
          <w:rFonts w:hint="eastAsia" w:ascii="仿宋_GB2312" w:hAnsi="仿宋" w:eastAsia="仿宋_GB2312" w:cs="宋体"/>
          <w:sz w:val="32"/>
          <w:szCs w:val="32"/>
        </w:rPr>
        <w:t>从预算资金管理部门县财政局查阅、整理、研究、分析部门资金具体实施及绩效目标管理等相关信息和佐证材料。</w:t>
      </w:r>
    </w:p>
    <w:p>
      <w:pPr>
        <w:spacing w:line="560" w:lineRule="exact"/>
        <w:ind w:firstLine="630" w:firstLineChars="196"/>
        <w:rPr>
          <w:rFonts w:ascii="仿宋_GB2312" w:hAnsi="仿宋" w:eastAsia="仿宋_GB2312" w:cs="宋体"/>
          <w:b/>
          <w:sz w:val="32"/>
          <w:szCs w:val="32"/>
        </w:rPr>
      </w:pPr>
      <w:r>
        <w:rPr>
          <w:rFonts w:hint="eastAsia" w:ascii="仿宋_GB2312" w:hAnsi="仿宋" w:eastAsia="仿宋_GB2312" w:cs="宋体"/>
          <w:b/>
          <w:sz w:val="32"/>
          <w:szCs w:val="32"/>
        </w:rPr>
        <w:t>（2）实地调研与座谈</w:t>
      </w:r>
    </w:p>
    <w:p>
      <w:pPr>
        <w:spacing w:line="560" w:lineRule="exact"/>
        <w:ind w:firstLine="555"/>
        <w:rPr>
          <w:rFonts w:ascii="仿宋_GB2312" w:hAnsi="仿宋" w:eastAsia="仿宋_GB2312" w:cs="宋体"/>
          <w:sz w:val="32"/>
          <w:szCs w:val="32"/>
        </w:rPr>
      </w:pPr>
      <w:r>
        <w:rPr>
          <w:rFonts w:hint="eastAsia" w:ascii="仿宋_GB2312" w:hAnsi="仿宋" w:eastAsia="仿宋_GB2312" w:cs="宋体"/>
          <w:sz w:val="32"/>
          <w:szCs w:val="32"/>
        </w:rPr>
        <w:t>与北港镇人民政府实施座谈，听取关于资金绩效工作的陈述和信息反馈，听取意见和建议，为后续绩效指标评价分析和撰写评价报告奠定基础。</w:t>
      </w:r>
    </w:p>
    <w:p>
      <w:pPr>
        <w:spacing w:line="560" w:lineRule="exact"/>
        <w:ind w:firstLine="630" w:firstLineChars="196"/>
        <w:rPr>
          <w:rFonts w:ascii="仿宋_GB2312" w:hAnsi="仿宋" w:eastAsia="仿宋_GB2312" w:cs="宋体"/>
          <w:b/>
          <w:sz w:val="32"/>
          <w:szCs w:val="32"/>
        </w:rPr>
      </w:pPr>
      <w:r>
        <w:rPr>
          <w:rFonts w:hint="eastAsia" w:ascii="仿宋_GB2312" w:hAnsi="仿宋" w:eastAsia="仿宋_GB2312" w:cs="宋体"/>
          <w:b/>
          <w:sz w:val="32"/>
          <w:szCs w:val="32"/>
        </w:rPr>
        <w:t>（3）问卷调查</w:t>
      </w:r>
    </w:p>
    <w:p>
      <w:pPr>
        <w:spacing w:line="560" w:lineRule="exact"/>
        <w:ind w:firstLine="570"/>
        <w:rPr>
          <w:rFonts w:ascii="仿宋_GB2312" w:hAnsi="仿宋" w:eastAsia="仿宋_GB2312" w:cs="宋体"/>
          <w:sz w:val="32"/>
          <w:szCs w:val="32"/>
        </w:rPr>
      </w:pPr>
      <w:bookmarkStart w:id="41" w:name="_Toc111133049"/>
      <w:r>
        <w:rPr>
          <w:rFonts w:hint="eastAsia" w:ascii="仿宋_GB2312" w:hAnsi="仿宋" w:eastAsia="仿宋_GB2312" w:cs="宋体"/>
          <w:sz w:val="32"/>
          <w:szCs w:val="32"/>
        </w:rPr>
        <w:t>对服务群众及部门内部员工发放调查问卷，</w:t>
      </w:r>
      <w:bookmarkStart w:id="42" w:name="_Hlk65060043"/>
      <w:r>
        <w:rPr>
          <w:rFonts w:hint="eastAsia" w:ascii="仿宋_GB2312" w:hAnsi="仿宋" w:eastAsia="仿宋_GB2312" w:cs="宋体"/>
          <w:sz w:val="32"/>
          <w:szCs w:val="32"/>
        </w:rPr>
        <w:t>从政府服务，问题解决、办事效率等方面，</w:t>
      </w:r>
      <w:bookmarkEnd w:id="42"/>
      <w:r>
        <w:rPr>
          <w:rFonts w:hint="eastAsia" w:ascii="仿宋_GB2312" w:hAnsi="仿宋" w:eastAsia="仿宋_GB2312" w:cs="宋体"/>
          <w:sz w:val="32"/>
          <w:szCs w:val="32"/>
        </w:rPr>
        <w:t>了解部门整体支出实施满意度和影响力，以公众评判来考核项目实施效果。</w:t>
      </w:r>
      <w:bookmarkEnd w:id="41"/>
    </w:p>
    <w:p>
      <w:pPr>
        <w:pStyle w:val="2"/>
        <w:spacing w:line="560" w:lineRule="exact"/>
        <w:ind w:firstLine="643" w:firstLineChars="200"/>
        <w:outlineLvl w:val="1"/>
        <w:rPr>
          <w:rFonts w:ascii="楷体_GB2312" w:hAnsi="楷体_GB2312" w:eastAsia="楷体_GB2312" w:cs="楷体_GB2312"/>
          <w:b/>
          <w:bCs/>
          <w:sz w:val="32"/>
          <w:szCs w:val="32"/>
        </w:rPr>
      </w:pPr>
      <w:bookmarkStart w:id="43" w:name="_Toc5940"/>
      <w:r>
        <w:rPr>
          <w:rFonts w:hint="eastAsia" w:ascii="楷体_GB2312" w:hAnsi="楷体_GB2312" w:eastAsia="楷体_GB2312" w:cs="楷体_GB2312"/>
          <w:b/>
          <w:bCs/>
          <w:sz w:val="32"/>
          <w:szCs w:val="32"/>
        </w:rPr>
        <w:t>（三）绩效评价指标完成情况分析</w:t>
      </w:r>
      <w:bookmarkEnd w:id="43"/>
    </w:p>
    <w:p>
      <w:pPr>
        <w:spacing w:line="560" w:lineRule="exact"/>
        <w:ind w:firstLine="640" w:firstLineChars="200"/>
        <w:rPr>
          <w:rFonts w:ascii="仿宋" w:hAnsi="仿宋" w:eastAsia="仿宋" w:cs="宋体"/>
          <w:sz w:val="32"/>
          <w:szCs w:val="32"/>
        </w:rPr>
      </w:pPr>
      <w:r>
        <w:rPr>
          <w:rFonts w:hint="eastAsia" w:ascii="仿宋_GB2312" w:hAnsi="仿宋" w:eastAsia="仿宋_GB2312" w:cs="宋体"/>
          <w:sz w:val="32"/>
          <w:szCs w:val="32"/>
        </w:rPr>
        <w:t>根据设定的绩效评价指标体系，依照指标评价标准及评分细则，分别从运行成本、管理效率、履职效能、社会效应、可持续发展能力、服务对象满意度六大维度对部门整体支出绩效进行分析评价打分。</w:t>
      </w:r>
    </w:p>
    <w:p>
      <w:pPr>
        <w:pStyle w:val="2"/>
        <w:spacing w:line="560" w:lineRule="exact"/>
        <w:ind w:firstLine="643" w:firstLineChars="200"/>
        <w:outlineLvl w:val="2"/>
        <w:rPr>
          <w:rFonts w:ascii="仿宋_GB2312" w:hAnsi="Times New Roman" w:eastAsia="仿宋_GB2312"/>
          <w:b/>
          <w:bCs/>
          <w:sz w:val="32"/>
          <w:szCs w:val="32"/>
        </w:rPr>
      </w:pPr>
      <w:bookmarkStart w:id="44" w:name="_Toc1864"/>
      <w:r>
        <w:rPr>
          <w:rFonts w:hint="eastAsia" w:ascii="仿宋_GB2312" w:hAnsi="Times New Roman" w:eastAsia="仿宋_GB2312"/>
          <w:b/>
          <w:bCs/>
          <w:sz w:val="32"/>
          <w:szCs w:val="32"/>
        </w:rPr>
        <w:t>1.运行成本指标完成情况详细分析</w:t>
      </w:r>
      <w:bookmarkEnd w:id="44"/>
    </w:p>
    <w:p>
      <w:pPr>
        <w:spacing w:line="560" w:lineRule="exact"/>
        <w:ind w:firstLine="562"/>
        <w:rPr>
          <w:rFonts w:ascii="仿宋_GB2312" w:hAnsi="仿宋_GB2312" w:eastAsia="仿宋_GB2312" w:cs="仿宋_GB2312"/>
          <w:b/>
          <w:sz w:val="32"/>
          <w:szCs w:val="32"/>
        </w:rPr>
      </w:pPr>
      <w:r>
        <w:rPr>
          <w:rFonts w:hint="eastAsia" w:ascii="仿宋_GB2312" w:hAnsi="仿宋_GB2312" w:eastAsia="仿宋_GB2312" w:cs="仿宋_GB2312"/>
          <w:b/>
          <w:sz w:val="32"/>
          <w:szCs w:val="32"/>
        </w:rPr>
        <w:t>（1）基本经费成本控制</w:t>
      </w:r>
    </w:p>
    <w:p>
      <w:pPr>
        <w:spacing w:line="560" w:lineRule="exact"/>
        <w:ind w:firstLine="562"/>
        <w:rPr>
          <w:rFonts w:ascii="仿宋_GB2312" w:hAnsi="仿宋_GB2312" w:eastAsia="仿宋_GB2312" w:cs="仿宋_GB2312"/>
          <w:b/>
          <w:sz w:val="32"/>
          <w:szCs w:val="32"/>
        </w:rPr>
      </w:pPr>
      <w:bookmarkStart w:id="45" w:name="_Hlk64894692"/>
      <w:bookmarkStart w:id="46" w:name="_Hlk65071167"/>
      <w:r>
        <w:rPr>
          <w:rFonts w:hint="eastAsia" w:ascii="仿宋_GB2312" w:hAnsi="仿宋_GB2312" w:eastAsia="仿宋_GB2312" w:cs="仿宋_GB2312"/>
          <w:b/>
          <w:sz w:val="32"/>
          <w:szCs w:val="32"/>
        </w:rPr>
        <w:t>a）</w:t>
      </w:r>
      <w:bookmarkEnd w:id="45"/>
      <w:r>
        <w:rPr>
          <w:rFonts w:hint="eastAsia" w:ascii="仿宋_GB2312" w:hAnsi="仿宋_GB2312" w:eastAsia="仿宋_GB2312" w:cs="仿宋_GB2312"/>
          <w:b/>
          <w:sz w:val="32"/>
          <w:szCs w:val="32"/>
        </w:rPr>
        <w:t>公用经费控制率（指标标准分值2分）</w:t>
      </w:r>
    </w:p>
    <w:p>
      <w:pPr>
        <w:spacing w:line="560" w:lineRule="exact"/>
        <w:ind w:firstLine="562"/>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本年度实际支出的公用经费总额与预算安排的公用经费总额之比。</w:t>
      </w:r>
    </w:p>
    <w:p>
      <w:pPr>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根据北港镇人民政府提供的2022年度预算报表及决算报表，2022年北港镇调整预算安排的公用经费总额为139.89万元，实际支出公用经费总额为139.89万元，公用经费控制率=（139.89/139.89）*100%=100%。</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根据评分标准，该项指标评价得分为满分2分。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b）在职人员控制率（指标标准分值2分）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宋体"/>
          <w:sz w:val="32"/>
          <w:szCs w:val="32"/>
        </w:rPr>
        <w:t>本年度实际在职人员与核定编制数之比。</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根据北港镇人民政府提供的北港镇机关干部花名册，2022年北港镇在职人数为36人，核定行政编制与事业编制数为34，在职人员控制率=[36/（31+3）]*100%=105.88%。</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根据评分标准，在职人员控制比率&gt;100%，每增加1%，扣 5%权重分，该项指标得分为1.41分。</w:t>
      </w:r>
    </w:p>
    <w:p>
      <w:pPr>
        <w:spacing w:line="560" w:lineRule="exact"/>
        <w:ind w:firstLine="562"/>
        <w:rPr>
          <w:rFonts w:ascii="仿宋_GB2312" w:hAnsi="仿宋_GB2312" w:eastAsia="仿宋_GB2312" w:cs="仿宋_GB2312"/>
          <w:b/>
          <w:sz w:val="32"/>
          <w:szCs w:val="32"/>
        </w:rPr>
      </w:pPr>
      <w:r>
        <w:rPr>
          <w:rFonts w:hint="eastAsia" w:ascii="仿宋_GB2312" w:hAnsi="仿宋_GB2312" w:eastAsia="仿宋_GB2312" w:cs="仿宋_GB2312"/>
          <w:b/>
          <w:sz w:val="32"/>
          <w:szCs w:val="32"/>
        </w:rPr>
        <w:t>（2）项目支出成本控制</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a）会议费控制率（指标标准分值2分）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本年度会议费支出与相关支出标准的匹配程度。</w:t>
      </w:r>
    </w:p>
    <w:bookmarkEnd w:id="46"/>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根据北港镇人民政府提供的会议费明细以及会计凭证及附件，2022年度，北港镇的会议费支出均符合相关支出标准。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b）“三公经费”变动率（指标标准分值2分）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部门(单位)本年度“三公经费”与上年度“三公经费”的变动比率。</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指标分析：</w:t>
      </w:r>
      <w:r>
        <w:rPr>
          <w:rFonts w:hint="eastAsia" w:ascii="仿宋_GB2312" w:hAnsi="仿宋_GB2312" w:eastAsia="仿宋_GB2312" w:cs="仿宋_GB2312"/>
          <w:sz w:val="32"/>
          <w:szCs w:val="32"/>
        </w:rPr>
        <w:t>根据北港镇人民政府提供的北港镇2021年及2022年决算报表，2022年度“三公经费”预算数为4.58万元，2021年度“三公经费”预算数为34.6万元，“三公经费”变动率=[(4.58-34.6）/34.6]*100%=-86.78%。</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根据评分标准，该项指标得分为满分2分。</w:t>
      </w:r>
    </w:p>
    <w:p>
      <w:pPr>
        <w:pStyle w:val="2"/>
        <w:spacing w:line="560" w:lineRule="exact"/>
        <w:ind w:firstLine="643" w:firstLineChars="200"/>
        <w:outlineLvl w:val="2"/>
        <w:rPr>
          <w:rFonts w:ascii="仿宋_GB2312" w:hAnsi="Times New Roman" w:eastAsia="仿宋_GB2312"/>
          <w:b/>
          <w:bCs/>
          <w:sz w:val="32"/>
          <w:szCs w:val="32"/>
        </w:rPr>
      </w:pPr>
      <w:bookmarkStart w:id="47" w:name="_Toc803"/>
      <w:r>
        <w:rPr>
          <w:rFonts w:hint="eastAsia" w:ascii="仿宋_GB2312" w:hAnsi="Times New Roman" w:eastAsia="仿宋_GB2312"/>
          <w:b/>
          <w:bCs/>
          <w:sz w:val="32"/>
          <w:szCs w:val="32"/>
        </w:rPr>
        <w:t>2.管理效率指标完成情况详细分析</w:t>
      </w:r>
      <w:bookmarkEnd w:id="47"/>
    </w:p>
    <w:p>
      <w:pPr>
        <w:spacing w:line="560" w:lineRule="exact"/>
        <w:ind w:firstLine="636" w:firstLineChars="198"/>
        <w:rPr>
          <w:rFonts w:ascii="仿宋_GB2312" w:hAnsi="仿宋_GB2312" w:eastAsia="仿宋_GB2312" w:cs="仿宋_GB2312"/>
          <w:b/>
          <w:sz w:val="32"/>
          <w:szCs w:val="32"/>
        </w:rPr>
      </w:pPr>
      <w:bookmarkStart w:id="48" w:name="_Hlk64972001"/>
      <w:r>
        <w:rPr>
          <w:rFonts w:hint="eastAsia" w:ascii="仿宋_GB2312" w:hAnsi="仿宋_GB2312" w:eastAsia="仿宋_GB2312" w:cs="仿宋_GB2312"/>
          <w:b/>
          <w:sz w:val="32"/>
          <w:szCs w:val="32"/>
        </w:rPr>
        <w:t>（1）战略规划管理</w:t>
      </w:r>
    </w:p>
    <w:bookmarkEnd w:id="48"/>
    <w:p>
      <w:pPr>
        <w:spacing w:line="560" w:lineRule="exact"/>
        <w:ind w:firstLine="640"/>
        <w:rPr>
          <w:rFonts w:ascii="仿宋_GB2312" w:hAnsi="仿宋_GB2312" w:eastAsia="仿宋_GB2312" w:cs="仿宋_GB2312"/>
          <w:b/>
          <w:sz w:val="32"/>
          <w:szCs w:val="32"/>
        </w:rPr>
      </w:pPr>
      <w:bookmarkStart w:id="49" w:name="_Hlk65070591"/>
      <w:r>
        <w:rPr>
          <w:rFonts w:hint="eastAsia" w:ascii="仿宋_GB2312" w:hAnsi="仿宋_GB2312" w:eastAsia="仿宋_GB2312" w:cs="仿宋_GB2312"/>
          <w:b/>
          <w:sz w:val="32"/>
          <w:szCs w:val="32"/>
        </w:rPr>
        <w:t>a）</w:t>
      </w:r>
      <w:bookmarkEnd w:id="49"/>
      <w:r>
        <w:rPr>
          <w:rFonts w:hint="eastAsia" w:ascii="仿宋_GB2312" w:hAnsi="仿宋_GB2312" w:eastAsia="仿宋_GB2312" w:cs="仿宋_GB2312"/>
          <w:b/>
          <w:sz w:val="32"/>
          <w:szCs w:val="32"/>
        </w:rPr>
        <w:t>中长期规划相符性（标准分值1分）</w:t>
      </w:r>
    </w:p>
    <w:p>
      <w:pPr>
        <w:spacing w:line="560" w:lineRule="exact"/>
        <w:ind w:firstLine="640"/>
        <w:rPr>
          <w:rFonts w:ascii="仿宋_GB2312" w:hAnsi="仿宋_GB2312" w:eastAsia="仿宋_GB2312" w:cs="仿宋_GB2312"/>
          <w:b/>
          <w:sz w:val="32"/>
          <w:szCs w:val="32"/>
        </w:rPr>
      </w:pPr>
      <w:r>
        <w:rPr>
          <w:rFonts w:hint="eastAsia" w:ascii="仿宋" w:hAnsi="仿宋" w:eastAsia="仿宋"/>
          <w:b/>
          <w:bCs/>
          <w:sz w:val="32"/>
          <w:szCs w:val="32"/>
        </w:rPr>
        <w:t>指标内容：</w:t>
      </w:r>
      <w:r>
        <w:rPr>
          <w:rFonts w:hint="eastAsia" w:ascii="仿宋_GB2312" w:hAnsi="仿宋" w:eastAsia="仿宋_GB2312" w:cs="楷体"/>
          <w:sz w:val="32"/>
          <w:szCs w:val="32"/>
        </w:rPr>
        <w:t>部门规划与国家、县委县政府战略的匹配性、与部门职能的相符性</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通过查阅北港镇人民政府2022年工作目标、工作总结和未来五年工作计划，评析认为该部门活动目标与部门履职、年度工作任务的情况相符；部门活动的设定在部门所确定的职责范围之内。部门活动符合县委、县政府的发展规划及本部门的年度工作安排与发展规划。</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b）工作计划健全性（标准分值1分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部门年度工作计划制定是否明确、具体、可操作，是否与部门职能和中长期规划相匹配。</w:t>
      </w:r>
    </w:p>
    <w:p>
      <w:pPr>
        <w:spacing w:line="560" w:lineRule="exact"/>
        <w:ind w:firstLine="643" w:firstLineChars="200"/>
        <w:rPr>
          <w:rFonts w:ascii="仿宋_GB2312" w:hAnsi="仿宋_GB2312" w:eastAsia="仿宋_GB2312" w:cs="仿宋_GB2312"/>
          <w:bCs/>
          <w:sz w:val="32"/>
          <w:szCs w:val="32"/>
        </w:rPr>
      </w:pPr>
      <w:bookmarkStart w:id="50" w:name="_Hlk64974159"/>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根据北港镇人民政府提供的绩效目标申报表、自评报告等资料，评析认为部门所设定的年度工作计划明确、具体、可操作性强，和部门职能及中长期规划比较匹配。</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根据评分标准，该项指标得分为0.75分。</w:t>
      </w:r>
    </w:p>
    <w:bookmarkEnd w:id="50"/>
    <w:p>
      <w:pPr>
        <w:spacing w:line="560" w:lineRule="exact"/>
        <w:ind w:firstLine="636" w:firstLineChars="198"/>
        <w:rPr>
          <w:rFonts w:ascii="仿宋_GB2312" w:hAnsi="仿宋_GB2312" w:eastAsia="仿宋_GB2312" w:cs="仿宋_GB2312"/>
          <w:b/>
          <w:sz w:val="32"/>
          <w:szCs w:val="32"/>
        </w:rPr>
      </w:pPr>
      <w:r>
        <w:rPr>
          <w:rFonts w:hint="eastAsia" w:ascii="仿宋_GB2312" w:hAnsi="仿宋_GB2312" w:eastAsia="仿宋_GB2312" w:cs="仿宋_GB2312"/>
          <w:b/>
          <w:sz w:val="32"/>
          <w:szCs w:val="32"/>
        </w:rPr>
        <w:t>（2）预算编制</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a）预算编制科学性（标准分值1分）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宋体"/>
          <w:b/>
          <w:sz w:val="32"/>
          <w:szCs w:val="32"/>
        </w:rPr>
        <w:t>指标内容：</w:t>
      </w:r>
      <w:r>
        <w:rPr>
          <w:rFonts w:hint="eastAsia" w:ascii="仿宋_GB2312" w:hAnsi="仿宋" w:eastAsia="仿宋_GB2312" w:cs="楷体"/>
          <w:sz w:val="32"/>
          <w:szCs w:val="32"/>
        </w:rPr>
        <w:t>预算编制的基本信息内容是否真实、完整、准确，基本支出预算是否按照规定标准编制;项目预算测算依据是否充分。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2022年预算报表、预算公开等相关资料及询问工作人员。2022年，北港镇决算报表中显示，年初预算数为1,970.02万元，调整预算数1,488.54万元，决算数1,488.54万元。2021年年终决算显示，当年支出总额为1,762.26万元，但2022年年初预算与其后的预算公开、预算调整差异较大，年初预算未经过科学论证，人员经费预算骤增却无相关说明或测算。未见对预算论证的相关材料。</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根据评分标准，该指标得分为0分。</w:t>
      </w:r>
    </w:p>
    <w:p>
      <w:pPr>
        <w:spacing w:line="560" w:lineRule="exact"/>
        <w:ind w:firstLine="640"/>
        <w:rPr>
          <w:rFonts w:ascii="仿宋_GB2312" w:hAnsi="仿宋_GB2312" w:eastAsia="仿宋_GB2312" w:cs="仿宋_GB2312"/>
          <w:b/>
          <w:sz w:val="32"/>
          <w:szCs w:val="32"/>
        </w:rPr>
      </w:pPr>
      <w:r>
        <w:rPr>
          <w:rFonts w:hint="eastAsia" w:ascii="仿宋_GB2312" w:hAnsi="仿宋_GB2312" w:eastAsia="仿宋_GB2312" w:cs="仿宋_GB2312"/>
          <w:b/>
          <w:sz w:val="32"/>
          <w:szCs w:val="32"/>
        </w:rPr>
        <w:t>b）预算编制合理性（标准分值1分）</w:t>
      </w:r>
    </w:p>
    <w:p>
      <w:pPr>
        <w:spacing w:line="560" w:lineRule="exact"/>
        <w:ind w:firstLine="64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重点项目预算是否有保障;部门内部项目之间是否存在交叉重复。</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根据北港镇人民政府提供的2022年预算报表、预算公开等相关资料，北港镇未安排重点项目，不存在内部项目交叉混乱的情况。</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c）立项规范性（标准分值1分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各项目设立依据是否充分，是否按照规定的程序申请设立，事前是否经过必要的可行性研究、专家论证、风险评估、绩效评估、集体决策等。</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因提供资料不足，2022年北港镇项目支出的主要内容实质上为其他业务活动费用支出，未见项目的立项程序资料。</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根据评分标准，该指标得分为0分。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d）预算调整率（标准分值2分）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部门(单位)本年度预算调整数与预算数之比。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根据北港镇人民政府提供的2022年预算报表、预算公开等相关资料，2022年初北港镇部门整体支出预算数为1,970.02万元，调整预算数1,488.54万元，</w:t>
      </w:r>
      <w:r>
        <w:rPr>
          <w:rFonts w:hint="eastAsia" w:ascii="仿宋_GB2312" w:hAnsi="仿宋_GB2312" w:eastAsia="仿宋_GB2312" w:cs="仿宋_GB2312"/>
          <w:bCs/>
          <w:sz w:val="32"/>
          <w:szCs w:val="32"/>
        </w:rPr>
        <w:t>2022年度北港镇预算调整率=[（</w:t>
      </w:r>
      <w:r>
        <w:rPr>
          <w:rFonts w:hint="eastAsia" w:ascii="仿宋_GB2312" w:hAnsi="仿宋_GB2312" w:eastAsia="仿宋_GB2312" w:cs="仿宋_GB2312"/>
          <w:sz w:val="32"/>
          <w:szCs w:val="32"/>
        </w:rPr>
        <w:t>1,488.54</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1,970.02</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1,970.02</w:t>
      </w:r>
      <w:r>
        <w:rPr>
          <w:rFonts w:hint="eastAsia" w:ascii="仿宋_GB2312" w:hAnsi="仿宋_GB2312" w:eastAsia="仿宋_GB2312" w:cs="仿宋_GB2312"/>
          <w:bCs/>
          <w:sz w:val="32"/>
          <w:szCs w:val="32"/>
        </w:rPr>
        <w:t>]*100%=-24.44%。</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根据评分标准，预算调整比率小于0，该项指标得满分2分。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（3） 预算执行</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a）预算执行率（标准分值2分）</w:t>
      </w:r>
    </w:p>
    <w:p>
      <w:pPr>
        <w:spacing w:line="560" w:lineRule="exact"/>
        <w:ind w:firstLine="56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部门(单位)本年度预算完成数与调整预算数之比。</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北港镇基本支出预算数为832.5万元，基本支出决算数为832.5万元，基本支出预算执行率=（832.5/832.5）*100%=100%。2022年度北港镇项目支出预算数为656.03万元，项目支出决算数为656.03万元，项目支出预算执行率=（656.03/656.03）*100%=100%</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b）结转结余率（标准分值1分）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部门(单位)本年度结转结余总额与调整预算数之比。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根据北港镇人民政府提供的2022年预算报表、预算公开等相关资料，2022年度北港镇结转结余总额为0，结转结余率=0/1,488.54=0%</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根据评分标准，该项指标得分为满分1分。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c）政府采购执行率（标准分值1分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部门(单位)本年度实际政府采购金额与年初政府采购预算之比。</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度北港镇年初预算编报说明列出全年预计采购内容（含办公设备、生活类物件）费用估计70万元，购买劳务服务（包括综治、防疫等方面工作）费用概算60万元，但年终决算未提供政府采购相关决算数据，无法测算。</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根据评分标准，该指标得分0分。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d）非税收入预算完成率（标准分值1分）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部门(单位)本年度实际非税收入完成数与年初非税收入预算数之比。</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2022年度北港镇无非税收入预算安排，非税收入为0，不扣分</w:t>
      </w:r>
      <w:r>
        <w:rPr>
          <w:rFonts w:hint="eastAsia" w:ascii="仿宋_GB2312" w:hAnsi="仿宋_GB2312" w:eastAsia="仿宋_GB2312" w:cs="仿宋_GB2312"/>
          <w:bCs/>
          <w:sz w:val="32"/>
          <w:szCs w:val="32"/>
        </w:rPr>
        <w:t>。</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根据评分标准，该指标得分满分1分。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（4）绩效管理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a）事前绩效评估完成率（标准分值1分）</w:t>
      </w:r>
    </w:p>
    <w:p>
      <w:pPr>
        <w:spacing w:line="560" w:lineRule="exact"/>
        <w:ind w:firstLine="56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部门(单位)本年度开展事前绩效评估数量与新出台的申请财政资金200万元以上的重大政策和项目数量之比。</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sz w:val="32"/>
          <w:szCs w:val="32"/>
        </w:rPr>
        <w:t>2022年度北港镇未安排200万以上重大项目，不扣分。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b）绩效目标合理性（标准分值1分）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①部门(单位)本年度项目支出 (包括部门预算项目支出、省直专项支出、省对下转移支付、具有特定用途和具体使用目标的共同事权类一般性转移支付)是否设置绩效目标;是否设置部门整体绩效目标。②部门(单位)设置的绩效目标依据是否充分，是否符合客观实际是否符合部门制定的中长期规划和年度工作计划。</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北港镇人民政府2022年度项目支出费用实际上均为其他业务活动费用，包括环境整治、疫情防控、公路建设等，该类支出均未设置绩效目标，也未进行绩效监控、自评工作。部门绩效目标设定依据均参考往年实现情况，酌情设定指标标准，符合部门制定的中长期规划和年度工作计划。</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根据评分标准，该项指标得分0.5分。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c）绩效监控开展率（标准分值1分</w:t>
      </w:r>
      <w:r>
        <w:rPr>
          <w:rFonts w:hint="eastAsia" w:ascii="仿宋_GB2312" w:hAnsi="仿宋_GB2312" w:eastAsia="仿宋_GB2312" w:cs="仿宋_GB2312"/>
          <w:bCs/>
          <w:sz w:val="32"/>
          <w:szCs w:val="32"/>
        </w:rPr>
        <w:t>）</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部门(单位)本年度绩效运行监控的范围是否覆盖所管理的所有项目支出，包括部门预算项目 (不含不可预见费)、省直专项、省对下转移支付、具有特定用途和具体使用目标的共同事权类一般性转移支付;是否按期完成绩效运行监控汇总分析工作。</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2022年北港镇开展了绩效监控工作。</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d）绩效评价覆盖率（标准分值1分）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部门(单位)本年度是否对所管理的所有省级预算一级项目和二级项目开展部门自评，包括括部门预算项目 (不含不可预见费 )、省直专项、省对下转移支付、具有特定用途和具体使用目标的共同事权类般性转移支付;是否对本部门整体开展部门自评。</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2022年，北港镇完成绩效自评报告并及时提交。</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e）评价结果应用率（标准分值1分）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部门(单位)是否根据部门自评和财政评价结果进行整改，以前年度的评价结果是否在本年度编制预算时进行应用。</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2021年北港镇绩效自评结果为满分，2022年继续保持以前年度工作方式及态度。</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根据评分标准，该指标得1分。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（5）资产管理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a）资产管理制度健全性（标准分值1分）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部门(单位)为加强资产管理、规范资产管理行为而制定的管理制度是否完善。①是否制定资产配置、使用、处置、收益等相关制度办法。②是否制定资产管理内部控制制度或操作规程。</w:t>
      </w:r>
    </w:p>
    <w:p>
      <w:pPr>
        <w:spacing w:line="560" w:lineRule="exact"/>
        <w:ind w:firstLine="560"/>
        <w:rPr>
          <w:rFonts w:ascii="仿宋_GB2312" w:hAnsi="仿宋" w:eastAsia="仿宋_GB2312" w:cs="楷体"/>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根据</w:t>
      </w:r>
      <w:r>
        <w:rPr>
          <w:rFonts w:hint="eastAsia" w:ascii="仿宋_GB2312" w:hAnsi="仿宋_GB2312" w:eastAsia="仿宋_GB2312" w:cs="仿宋_GB2312"/>
          <w:sz w:val="32"/>
          <w:szCs w:val="32"/>
        </w:rPr>
        <w:t>北港镇人民政府</w:t>
      </w:r>
      <w:r>
        <w:rPr>
          <w:rFonts w:hint="eastAsia" w:ascii="仿宋_GB2312" w:hAnsi="仿宋" w:eastAsia="仿宋_GB2312" w:cs="楷体"/>
          <w:sz w:val="32"/>
          <w:szCs w:val="32"/>
        </w:rPr>
        <w:t>提供的相关管理制度及查阅资金使用单位账簿和原始凭证，部门制定有财务管理制度、国有资产业务管理制度、绩效管理制度；制定了政府采购内部控制制度，并将这些制度梳理整合，汇编成册参照执行。</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b）资产管理规范性（标准分值1分）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的资产是否保存完整、使用合规、配置合理、处置规范收入及时足额上缴。①是否按批复的预算配置资产，新购资产入库管理是否规范(如编制采购计划、进行采购审核、验收等)。②是否定期对现有资产进行盘点、对账，是否账实相符。③资产有偿使用和资产处置是否规范(批复、公开等)，所获收入是否及时足额上缴。</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根据</w:t>
      </w:r>
      <w:r>
        <w:rPr>
          <w:rFonts w:hint="eastAsia" w:ascii="仿宋_GB2312" w:hAnsi="仿宋_GB2312" w:eastAsia="仿宋_GB2312" w:cs="仿宋_GB2312"/>
          <w:sz w:val="32"/>
          <w:szCs w:val="32"/>
        </w:rPr>
        <w:t>北港镇人民政府</w:t>
      </w:r>
      <w:r>
        <w:rPr>
          <w:rFonts w:hint="eastAsia" w:ascii="仿宋_GB2312" w:hAnsi="仿宋_GB2312" w:eastAsia="仿宋_GB2312" w:cs="仿宋_GB2312"/>
          <w:bCs/>
          <w:sz w:val="32"/>
          <w:szCs w:val="32"/>
        </w:rPr>
        <w:t>提供的相关管理制度及查阅资金使用单位账簿和原始凭证，部门制定有财务管理、政府采购管理与资产管理等制度与办法，2022年度无新购资产，账面资产与实际相符合，该年度未对资产进行处置或有偿给予其他单位或个人使用。</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根据评分标准，该项指标得分为满分1分。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（6）财务管理</w:t>
      </w:r>
    </w:p>
    <w:p>
      <w:pPr>
        <w:spacing w:line="560" w:lineRule="exact"/>
        <w:ind w:firstLine="560"/>
        <w:rPr>
          <w:rFonts w:ascii="仿宋_GB2312" w:hAnsi="仿宋_GB2312" w:eastAsia="仿宋_GB2312" w:cs="仿宋_GB2312"/>
          <w:b/>
          <w:sz w:val="32"/>
          <w:szCs w:val="32"/>
        </w:rPr>
      </w:pPr>
      <w:r>
        <w:rPr>
          <w:rFonts w:hint="eastAsia" w:ascii="仿宋_GB2312" w:hAnsi="仿宋_GB2312" w:eastAsia="仿宋_GB2312" w:cs="仿宋_GB2312"/>
          <w:b/>
          <w:sz w:val="32"/>
          <w:szCs w:val="32"/>
        </w:rPr>
        <w:t>a）财务管理制度健全性（标准分值1分）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加强财务管理、规范财务行为而制定的管理制度是否健全完整，是否已制定或具有相应的财务管理内控制度，包括收入与支出管理、往来资金结算管理、现金及银行存款管理、财务监督管理政府采购管理、绩效管理等;财务管理制度是否合法、合规、完整。</w:t>
      </w:r>
    </w:p>
    <w:p>
      <w:pPr>
        <w:spacing w:line="560" w:lineRule="exact"/>
        <w:ind w:firstLine="560"/>
        <w:rPr>
          <w:rFonts w:ascii="仿宋_GB2312" w:hAnsi="仿宋" w:eastAsia="仿宋_GB2312" w:cs="楷体"/>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根据</w:t>
      </w:r>
      <w:r>
        <w:rPr>
          <w:rFonts w:hint="eastAsia" w:ascii="仿宋_GB2312" w:hAnsi="仿宋_GB2312" w:eastAsia="仿宋_GB2312" w:cs="仿宋_GB2312"/>
          <w:sz w:val="32"/>
          <w:szCs w:val="32"/>
        </w:rPr>
        <w:t>北港镇人民政府</w:t>
      </w:r>
      <w:r>
        <w:rPr>
          <w:rFonts w:hint="eastAsia" w:ascii="仿宋_GB2312" w:hAnsi="仿宋_GB2312" w:eastAsia="仿宋_GB2312" w:cs="仿宋_GB2312"/>
          <w:bCs/>
          <w:sz w:val="32"/>
          <w:szCs w:val="32"/>
        </w:rPr>
        <w:t>提供的相关管理制度及查阅资金使用单位账簿和原始凭证，</w:t>
      </w:r>
      <w:r>
        <w:rPr>
          <w:rFonts w:hint="eastAsia" w:ascii="仿宋_GB2312" w:hAnsi="仿宋" w:eastAsia="仿宋_GB2312" w:cs="楷体"/>
          <w:sz w:val="32"/>
          <w:szCs w:val="32"/>
        </w:rPr>
        <w:t>该单位管理制度健全完整，已制定相应的财务管理内控制度，其中包括合同管理、项目管理、收支业务管理、政府采购业务管理、预算管理、资产管理、内控评价与监督等制度或管理办法，制度合法、合规、完整。</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b）会计核算规范性（标准分值1分）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部门(单位)的财务核算是否符合国家财经法规和财务管理制度及专项资金管理有关规定;部门(单位)基础数据信息和会计信息资料是否真实、准确、完整。</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根据</w:t>
      </w:r>
      <w:r>
        <w:rPr>
          <w:rFonts w:hint="eastAsia" w:ascii="仿宋_GB2312" w:hAnsi="仿宋_GB2312" w:eastAsia="仿宋_GB2312" w:cs="仿宋_GB2312"/>
          <w:sz w:val="32"/>
          <w:szCs w:val="32"/>
        </w:rPr>
        <w:t>北港镇人民政府</w:t>
      </w:r>
      <w:r>
        <w:rPr>
          <w:rFonts w:hint="eastAsia" w:ascii="仿宋_GB2312" w:hAnsi="仿宋_GB2312" w:eastAsia="仿宋_GB2312" w:cs="仿宋_GB2312"/>
          <w:bCs/>
          <w:sz w:val="32"/>
          <w:szCs w:val="32"/>
        </w:rPr>
        <w:t>提供的相关管理制度及查阅资金使用单位账簿和原始凭证，该单位财务核算基本符合国家财经法规和财务管理制度及专项资金管理有关规定，但抽查凭证过程中发现以下问题：一、结算票据付款方收款方颠倒。如：记账-01-0038，应付湖北省新华书店有限公司通城分公司北港镇党史学习资料费。结算票据付款人为湖北省新华书店，收款人为北港镇人民政府。二、凭证附件审核不严谨，用餐人数与公务接待函上显示人数不一致。如11月记账2号凭证，2021年9月14日接待文旅局图书馆分馆建设工作，工作联系函显示接待7人，（实际9人）接待审批单上显示来客9人，前后不一致。三、存在记账凭证附件不全的情况。如：1月记账17号凭证，支付给太极协会购买衣服和鞋子，应补充领用明细。7月记账4号凭证，横冲加油站拆除特警车油费，仅有加油照片和微信支付单，无审批和事项说明或通知等。</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根据评分标准，该项指标得分为0.4分。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c）资金使用规范性（标准分值1分）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使用预算资金是否符合国家财经法规和财务管理制度以及有关专项资金管理办法的规定;是否存在截留、挤占、挪用、虚列支出等情况;资金拨付是否有完整的审批程序和手续;公用经费是否存在超标准支出情况，项目支出与公用经费是否存在交叉重复。</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根据</w:t>
      </w:r>
      <w:r>
        <w:rPr>
          <w:rFonts w:hint="eastAsia" w:ascii="仿宋_GB2312" w:hAnsi="仿宋_GB2312" w:eastAsia="仿宋_GB2312" w:cs="仿宋_GB2312"/>
          <w:sz w:val="32"/>
          <w:szCs w:val="32"/>
        </w:rPr>
        <w:t>北港镇人民政府</w:t>
      </w:r>
      <w:r>
        <w:rPr>
          <w:rFonts w:hint="eastAsia" w:ascii="仿宋_GB2312" w:hAnsi="仿宋_GB2312" w:eastAsia="仿宋_GB2312" w:cs="仿宋_GB2312"/>
          <w:bCs/>
          <w:sz w:val="32"/>
          <w:szCs w:val="32"/>
        </w:rPr>
        <w:t>提供的相关管理制度及查阅资金使用单位账簿和原始凭证，该单位存在招待费超标准情况，如：11月记账3号凭证中，2021年10月22日，招待县公安局交警大队10人，陪餐人数4人，花费834元，陪餐人数超标。2021年10月20日（审批单）接待湖南临湘市詹桥镇13人，公务接待函时间为2021年10月21日，陪餐人数5人，花费1,096元，陪餐人数超标，人均花费60.89，超标。2021年10月28日，招待县自规局12人，陪餐人数5人，超出标准。此外，5月记账14号凭证，共计26.28万元资金，使用无审批，仅有党委专题会议纪要说明为2018年至2020年政府不合理开支。使用事由、原因不明。使用大头主要为公务接待费，附件只有发票和菜单，无接待函、审批单等，且用餐时间大多为以前年度，发票为2022年开具。还有1.68万元为看望村干、退休干部费用，未见相关文件通知与审批，也无领用干部名册及领用签字。有15,876元发票，抬头为湖北绿美鲜农业开发有限公司，（销售方：通城县千手家政服务有限公司），报销摘要为迎接拉练检查公司清洁清理费用。有龙门邓昌凤3万元收条，具体事项不明。有22,256元购买酒的发票。该项问题在以前年度已处理，本次评价仅反映问题不参与评分。</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根据评分标准，该项指标得分为0.25分。</w:t>
      </w:r>
    </w:p>
    <w:p>
      <w:pPr>
        <w:pStyle w:val="2"/>
        <w:spacing w:line="560" w:lineRule="exact"/>
        <w:ind w:firstLine="643" w:firstLineChars="200"/>
        <w:outlineLvl w:val="2"/>
        <w:rPr>
          <w:rFonts w:ascii="仿宋_GB2312" w:hAnsi="Times New Roman" w:eastAsia="仿宋_GB2312"/>
          <w:b/>
          <w:bCs/>
          <w:sz w:val="32"/>
          <w:szCs w:val="32"/>
        </w:rPr>
      </w:pPr>
      <w:bookmarkStart w:id="51" w:name="_Toc4864"/>
      <w:r>
        <w:rPr>
          <w:rFonts w:hint="eastAsia" w:ascii="仿宋_GB2312" w:hAnsi="Times New Roman" w:eastAsia="仿宋_GB2312"/>
          <w:b/>
          <w:bCs/>
          <w:sz w:val="32"/>
          <w:szCs w:val="32"/>
        </w:rPr>
        <w:t>3.履职效能指标完成情况详细分析</w:t>
      </w:r>
      <w:bookmarkEnd w:id="51"/>
    </w:p>
    <w:p>
      <w:pPr>
        <w:spacing w:line="560" w:lineRule="exact"/>
        <w:ind w:firstLine="615"/>
        <w:rPr>
          <w:rFonts w:ascii="仿宋_GB2312" w:hAnsi="仿宋" w:eastAsia="仿宋_GB2312" w:cs="楷体"/>
          <w:b/>
          <w:bCs/>
          <w:sz w:val="32"/>
          <w:szCs w:val="32"/>
        </w:rPr>
      </w:pPr>
      <w:bookmarkStart w:id="52" w:name="_Toc27076"/>
      <w:bookmarkStart w:id="53" w:name="_Toc10409"/>
      <w:bookmarkStart w:id="54" w:name="_Hlk64983898"/>
      <w:r>
        <w:rPr>
          <w:rFonts w:hint="eastAsia" w:ascii="仿宋_GB2312" w:hAnsi="仿宋" w:eastAsia="仿宋_GB2312" w:cs="楷体"/>
          <w:b/>
          <w:bCs/>
          <w:sz w:val="32"/>
          <w:szCs w:val="32"/>
        </w:rPr>
        <w:t>（1）经济发展</w:t>
      </w:r>
      <w:bookmarkEnd w:id="52"/>
    </w:p>
    <w:p>
      <w:pPr>
        <w:spacing w:line="560" w:lineRule="exact"/>
        <w:ind w:firstLine="643" w:firstLineChars="200"/>
        <w:rPr>
          <w:rFonts w:ascii="仿宋" w:hAnsi="仿宋" w:eastAsia="仿宋"/>
          <w:b/>
          <w:sz w:val="32"/>
          <w:szCs w:val="32"/>
        </w:rPr>
      </w:pPr>
      <w:r>
        <w:rPr>
          <w:rFonts w:hint="eastAsia" w:ascii="仿宋" w:hAnsi="仿宋" w:eastAsia="仿宋"/>
          <w:b/>
          <w:sz w:val="32"/>
          <w:szCs w:val="32"/>
        </w:rPr>
        <w:t>经济复苏与税收成效（标准分值6分）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指标分析：</w:t>
      </w:r>
      <w:bookmarkEnd w:id="53"/>
      <w:bookmarkEnd w:id="54"/>
      <w:r>
        <w:rPr>
          <w:rFonts w:hint="eastAsia" w:ascii="仿宋_GB2312" w:hAnsi="仿宋_GB2312" w:eastAsia="仿宋_GB2312" w:cs="仿宋_GB2312"/>
          <w:color w:val="000000"/>
          <w:sz w:val="32"/>
          <w:szCs w:val="32"/>
        </w:rPr>
        <w:t>根据</w:t>
      </w:r>
      <w:r>
        <w:rPr>
          <w:rFonts w:hint="eastAsia" w:ascii="仿宋_GB2312" w:hAnsi="仿宋_GB2312" w:eastAsia="仿宋_GB2312" w:cs="仿宋_GB2312"/>
          <w:sz w:val="32"/>
          <w:szCs w:val="32"/>
        </w:rPr>
        <w:t>北港镇</w:t>
      </w:r>
      <w:r>
        <w:rPr>
          <w:rFonts w:hint="eastAsia" w:ascii="仿宋_GB2312" w:hAnsi="仿宋_GB2312" w:eastAsia="仿宋_GB2312" w:cs="仿宋_GB2312"/>
          <w:color w:val="000000"/>
          <w:sz w:val="32"/>
          <w:szCs w:val="32"/>
        </w:rPr>
        <w:t>人民政府提供的工作总结及年终总结，</w:t>
      </w:r>
      <w:r>
        <w:rPr>
          <w:rFonts w:hint="eastAsia" w:ascii="仿宋_GB2312" w:hAnsi="仿宋_GB2312" w:eastAsia="仿宋_GB2312" w:cs="仿宋_GB2312"/>
          <w:sz w:val="32"/>
          <w:szCs w:val="32"/>
        </w:rPr>
        <w:t>2022年度北港镇全力推进产业项目落地建设，净增市场主体220个，促进该镇经济市场活力，推进乡镇经济发展。现有长青工业园、大界工业园等五个产业园，全镇规模以上工业企业累计完成工业总产值21亿元，同比增长11.2%，累计完成投资6.7亿元，为北港镇经济发展提供充足动力。税收成效方面，2022年北港镇税收完成166.04万元，比2021年155.42万元增长6.83%。但投资566.83万元修建的龙门客栈项目，投资收益率偏低，导致镇政府未按合同收取租金。</w:t>
      </w:r>
    </w:p>
    <w:p>
      <w:pPr>
        <w:spacing w:line="560" w:lineRule="exact"/>
        <w:ind w:firstLine="615"/>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根据评分标准，北港镇2022年度经济复苏完成情况较好，该项指标得分为5分。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（2）乡村振兴</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巩固脱贫衔接乡村振兴成效（标准分值6分）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bookmarkStart w:id="55" w:name="_Hlk65003343"/>
      <w:bookmarkStart w:id="56" w:name="_Toc23818"/>
      <w:r>
        <w:rPr>
          <w:rFonts w:hint="eastAsia" w:ascii="仿宋_GB2312" w:hAnsi="仿宋_GB2312" w:eastAsia="仿宋_GB2312" w:cs="仿宋_GB2312"/>
          <w:color w:val="000000"/>
          <w:sz w:val="32"/>
          <w:szCs w:val="32"/>
        </w:rPr>
        <w:t>根据</w:t>
      </w:r>
      <w:r>
        <w:rPr>
          <w:rFonts w:hint="eastAsia" w:ascii="仿宋_GB2312" w:hAnsi="仿宋" w:eastAsia="仿宋_GB2312" w:cs="楷体"/>
          <w:sz w:val="32"/>
          <w:szCs w:val="32"/>
        </w:rPr>
        <w:t>北港镇人民政府</w:t>
      </w:r>
      <w:r>
        <w:rPr>
          <w:rFonts w:hint="eastAsia" w:ascii="仿宋_GB2312" w:hAnsi="仿宋_GB2312" w:eastAsia="仿宋_GB2312" w:cs="仿宋_GB2312"/>
          <w:color w:val="000000"/>
          <w:sz w:val="32"/>
          <w:szCs w:val="32"/>
        </w:rPr>
        <w:t>提供的工作总结、自评报告及其他相关资料，去年北港镇贯彻防止返贫动态检测和帮扶机制，带领全镇12个村发展村集体产业项目共计43个、新型经营主体11个、扶贫微工厂3家，共有3,030户脱贫户发展特色产业，全镇1,842户6,263贫困人口稳定脱贫。同时，规划高标准建设“粮酒小镇”，打造粮酒核心品牌和知名产品，创新营销模式，采用线上线下、电商直播、新零售等同步营销方式，形成高效产销链，对巩固脱贫衔接乡村振兴有较良好的促进作用。</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根据评分标准，该项指标得分为5分。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（3）疫情防控</w:t>
      </w:r>
    </w:p>
    <w:p>
      <w:pPr>
        <w:spacing w:line="560" w:lineRule="exact"/>
        <w:ind w:firstLine="615"/>
        <w:rPr>
          <w:rFonts w:ascii="仿宋_GB2312" w:hAnsi="仿宋" w:eastAsia="仿宋_GB2312" w:cs="楷体"/>
          <w:b/>
          <w:bCs/>
          <w:sz w:val="32"/>
          <w:szCs w:val="32"/>
        </w:rPr>
      </w:pPr>
      <w:r>
        <w:rPr>
          <w:rFonts w:hint="eastAsia" w:ascii="仿宋_GB2312" w:hAnsi="仿宋" w:eastAsia="仿宋_GB2312" w:cs="楷体"/>
          <w:b/>
          <w:bCs/>
          <w:sz w:val="32"/>
          <w:szCs w:val="32"/>
        </w:rPr>
        <w:t>疫情防控成效（标准分值6分）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r>
        <w:rPr>
          <w:rFonts w:hint="eastAsia" w:ascii="仿宋_GB2312" w:hAnsi="仿宋_GB2312" w:eastAsia="仿宋_GB2312" w:cs="仿宋_GB2312"/>
          <w:color w:val="000000"/>
          <w:sz w:val="32"/>
          <w:szCs w:val="32"/>
        </w:rPr>
        <w:t>根据</w:t>
      </w:r>
      <w:r>
        <w:rPr>
          <w:rFonts w:hint="eastAsia" w:ascii="仿宋_GB2312" w:hAnsi="仿宋" w:eastAsia="仿宋_GB2312" w:cs="楷体"/>
          <w:sz w:val="32"/>
          <w:szCs w:val="32"/>
        </w:rPr>
        <w:t>北港镇人民政府</w:t>
      </w:r>
      <w:r>
        <w:rPr>
          <w:rFonts w:hint="eastAsia" w:ascii="仿宋_GB2312" w:hAnsi="仿宋_GB2312" w:eastAsia="仿宋_GB2312" w:cs="仿宋_GB2312"/>
          <w:color w:val="000000"/>
          <w:sz w:val="32"/>
          <w:szCs w:val="32"/>
        </w:rPr>
        <w:t>提供的工作总结、自评报告及其他相关资料，分析认为2022年度该部门有效落实了疫情防控措施，新冠疫情传染人数0人，疫情排查及疫苗接种均高效推进。</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该项指标得分为满分6分。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（4）社会治理</w:t>
      </w:r>
    </w:p>
    <w:p>
      <w:pPr>
        <w:spacing w:line="560" w:lineRule="exact"/>
        <w:ind w:firstLine="615"/>
        <w:rPr>
          <w:rFonts w:ascii="仿宋" w:hAnsi="仿宋" w:eastAsia="仿宋" w:cs="楷体"/>
          <w:b/>
          <w:bCs/>
          <w:sz w:val="32"/>
          <w:szCs w:val="32"/>
        </w:rPr>
      </w:pPr>
      <w:r>
        <w:rPr>
          <w:rFonts w:hint="eastAsia" w:ascii="仿宋" w:hAnsi="仿宋" w:eastAsia="仿宋" w:cs="楷体"/>
          <w:b/>
          <w:bCs/>
          <w:sz w:val="32"/>
          <w:szCs w:val="32"/>
        </w:rPr>
        <w:t>社会治理成效（标准分值6分）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宋体"/>
          <w:b/>
          <w:sz w:val="32"/>
          <w:szCs w:val="32"/>
        </w:rPr>
        <w:t>指标内容:</w:t>
      </w:r>
      <w:r>
        <w:rPr>
          <w:rFonts w:hint="eastAsia"/>
        </w:rPr>
        <w:t xml:space="preserve">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 w:eastAsia="仿宋_GB2312" w:cs="楷体"/>
          <w:sz w:val="32"/>
          <w:szCs w:val="32"/>
        </w:rPr>
      </w:pPr>
      <w:r>
        <w:rPr>
          <w:rFonts w:hint="eastAsia" w:ascii="仿宋_GB2312" w:hAnsi="仿宋_GB2312" w:eastAsia="仿宋_GB2312" w:cs="仿宋_GB2312"/>
          <w:b/>
          <w:bCs/>
          <w:sz w:val="32"/>
          <w:szCs w:val="32"/>
        </w:rPr>
        <w:t>指标分析：</w:t>
      </w:r>
      <w:r>
        <w:rPr>
          <w:rFonts w:hint="eastAsia" w:ascii="仿宋_GB2312" w:hAnsi="仿宋" w:eastAsia="仿宋_GB2312" w:cs="楷体"/>
          <w:sz w:val="32"/>
          <w:szCs w:val="32"/>
        </w:rPr>
        <w:t>根据北港镇人民政府提供的工作总结、自评报告及其他相关资料，本年度部门换届顺利完成，公共服务持续提升，乡镇面貌焕然一新，获得了湖北省生态镇、文明镇、卫生镇、楹联文化镇，全国扫黄打非示范乡镇等荣誉称号；横冲村获得国家森林乡村和全国乡村治理示范村等荣誉称号；枫树、龙门、横冲获得了湖北省楹联文化村等荣誉称号。</w:t>
      </w:r>
    </w:p>
    <w:p>
      <w:pPr>
        <w:spacing w:line="560" w:lineRule="exact"/>
        <w:ind w:firstLine="640" w:firstLineChars="200"/>
        <w:rPr>
          <w:rFonts w:ascii="仿宋_GB2312" w:hAnsi="仿宋" w:eastAsia="仿宋_GB2312" w:cs="楷体"/>
          <w:sz w:val="32"/>
          <w:szCs w:val="32"/>
        </w:rPr>
      </w:pPr>
      <w:r>
        <w:rPr>
          <w:rFonts w:hint="eastAsia" w:ascii="仿宋_GB2312" w:hAnsi="仿宋" w:eastAsia="仿宋_GB2312" w:cs="楷体"/>
          <w:sz w:val="32"/>
          <w:szCs w:val="32"/>
        </w:rPr>
        <w:t>综治维稳方面打击突出治安问题工作，常态化对区域内重点场所、重点部位开展多轮清查整治。常态化开展扫黑除恶工作，对辖区范围内重点区域、领域进行全方位的巡查和走访，最大限度挤压黑恶组织的滋生空间，切实维护社会治安大局稳定。大力开展矛盾纠纷排查化解工作，共计排查矛盾纠纷94件，化解94件，基本做到小事不出村大事不出镇，做到应调尽调。按照市县综治中心规范化建设工作要求，北港镇12个镇村综治中心已完成规范化建设，较好地完成了本年度社会治理工作</w:t>
      </w:r>
      <w:r>
        <w:rPr>
          <w:rFonts w:hint="eastAsia" w:ascii="仿宋_GB2312" w:eastAsia="仿宋_GB2312"/>
          <w:sz w:val="32"/>
          <w:szCs w:val="32"/>
        </w:rPr>
        <w:t>。</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根据评分标准，该项指标得分为5分。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（5）</w:t>
      </w:r>
      <w:r>
        <w:rPr>
          <w:rFonts w:hint="eastAsia" w:ascii="仿宋_GB2312" w:hAnsi="仿宋" w:eastAsia="仿宋_GB2312" w:cs="楷体"/>
          <w:b/>
          <w:bCs/>
          <w:sz w:val="32"/>
          <w:szCs w:val="32"/>
        </w:rPr>
        <w:t>生态建设</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生态建设成效（标准分值6分）</w:t>
      </w:r>
    </w:p>
    <w:p>
      <w:pPr>
        <w:spacing w:line="560" w:lineRule="exact"/>
        <w:ind w:firstLine="643" w:firstLineChars="200"/>
        <w:rPr>
          <w:rFonts w:ascii="仿宋_GB2312" w:hAnsi="仿宋_GB2312" w:eastAsia="仿宋_GB2312" w:cs="仿宋_GB2312"/>
          <w:b/>
          <w:sz w:val="32"/>
          <w:szCs w:val="32"/>
        </w:rPr>
      </w:pPr>
      <w:r>
        <w:rPr>
          <w:rFonts w:hint="eastAsia" w:ascii="仿宋" w:hAnsi="仿宋" w:eastAsia="仿宋" w:cs="楷体"/>
          <w:b/>
          <w:sz w:val="32"/>
          <w:szCs w:val="32"/>
        </w:rPr>
        <w:t xml:space="preserve">指标内容: </w:t>
      </w:r>
      <w:r>
        <w:rPr>
          <w:rFonts w:hint="eastAsia" w:ascii="仿宋_GB2312" w:hAnsi="仿宋" w:eastAsia="仿宋_GB2312" w:cs="楷体"/>
          <w:sz w:val="32"/>
          <w:szCs w:val="32"/>
        </w:rPr>
        <w:t>部门职责履行及重点工作完成情况。主要考核部门对职责范围内提供的核心公共产品和公共服务；完成中央、省委省政府战略目标情况。</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指标分析：</w:t>
      </w:r>
      <w:r>
        <w:rPr>
          <w:rFonts w:hint="eastAsia" w:ascii="仿宋_GB2312" w:hAnsi="仿宋" w:eastAsia="仿宋_GB2312" w:cs="楷体"/>
          <w:sz w:val="32"/>
          <w:szCs w:val="32"/>
        </w:rPr>
        <w:t>根据北港镇人民政府提供的工作总结、自评报告及其他相关资料，本年度部门深入开展环境卫生整治，以建设美丽乡村为契机，狠抓城乡面貌和基础设施建设，北港、南港两河美化绿化，水库、塘堰全部除险加固，改善人居及生态环境效果良好</w:t>
      </w:r>
      <w:r>
        <w:rPr>
          <w:rFonts w:hint="eastAsia" w:ascii="仿宋_GB2312" w:hAnsi="仿宋_GB2312" w:eastAsia="仿宋_GB2312" w:cs="仿宋_GB2312"/>
          <w:color w:val="000000"/>
          <w:kern w:val="0"/>
          <w:sz w:val="32"/>
          <w:szCs w:val="32"/>
          <w:lang w:bidi="zh-TW"/>
        </w:rPr>
        <w:t>。</w:t>
      </w:r>
    </w:p>
    <w:p>
      <w:pPr>
        <w:spacing w:line="560" w:lineRule="exact"/>
        <w:ind w:firstLine="643" w:firstLineChars="200"/>
      </w:pPr>
      <w:r>
        <w:rPr>
          <w:rFonts w:hint="eastAsia" w:ascii="仿宋_GB2312" w:hAnsi="仿宋_GB2312" w:eastAsia="仿宋_GB2312" w:cs="仿宋_GB2312"/>
          <w:b/>
          <w:bCs/>
          <w:sz w:val="32"/>
          <w:szCs w:val="32"/>
        </w:rPr>
        <w:t>评价得分：</w:t>
      </w:r>
      <w:r>
        <w:rPr>
          <w:rFonts w:hint="eastAsia" w:ascii="仿宋_GB2312" w:hAnsi="仿宋_GB2312" w:eastAsia="仿宋_GB2312" w:cs="仿宋_GB2312"/>
          <w:sz w:val="32"/>
          <w:szCs w:val="32"/>
        </w:rPr>
        <w:t>根据评分标准，该项指标得分为5分。</w:t>
      </w:r>
    </w:p>
    <w:bookmarkEnd w:id="55"/>
    <w:bookmarkEnd w:id="56"/>
    <w:p>
      <w:pPr>
        <w:pStyle w:val="2"/>
        <w:spacing w:line="560" w:lineRule="exact"/>
        <w:ind w:firstLine="643" w:firstLineChars="200"/>
        <w:outlineLvl w:val="2"/>
        <w:rPr>
          <w:rFonts w:ascii="仿宋_GB2312" w:hAnsi="Times New Roman" w:eastAsia="仿宋_GB2312"/>
          <w:b/>
          <w:bCs/>
          <w:sz w:val="32"/>
          <w:szCs w:val="32"/>
        </w:rPr>
      </w:pPr>
      <w:bookmarkStart w:id="57" w:name="_Toc25103"/>
      <w:r>
        <w:rPr>
          <w:rFonts w:hint="eastAsia" w:ascii="仿宋_GB2312" w:hAnsi="Times New Roman" w:eastAsia="仿宋_GB2312"/>
          <w:b/>
          <w:bCs/>
          <w:sz w:val="32"/>
          <w:szCs w:val="32"/>
        </w:rPr>
        <w:t>4.社会效应指标完成情况详细分析</w:t>
      </w:r>
      <w:bookmarkEnd w:id="57"/>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（1）经济效益</w:t>
      </w:r>
    </w:p>
    <w:p>
      <w:pPr>
        <w:spacing w:line="560" w:lineRule="exact"/>
        <w:ind w:firstLine="615"/>
        <w:rPr>
          <w:rFonts w:ascii="仿宋_GB2312" w:hAnsi="仿宋" w:eastAsia="仿宋_GB2312" w:cs="楷体"/>
          <w:b/>
          <w:bCs/>
          <w:sz w:val="32"/>
          <w:szCs w:val="32"/>
        </w:rPr>
      </w:pPr>
      <w:bookmarkStart w:id="58" w:name="_Toc110603986"/>
      <w:bookmarkStart w:id="59" w:name="_Toc17433"/>
      <w:bookmarkStart w:id="60" w:name="_Toc9586"/>
      <w:bookmarkStart w:id="61" w:name="_Toc110494967"/>
      <w:r>
        <w:rPr>
          <w:rFonts w:hint="eastAsia" w:ascii="仿宋_GB2312" w:hAnsi="仿宋" w:eastAsia="仿宋_GB2312" w:cs="楷体"/>
          <w:b/>
          <w:bCs/>
          <w:sz w:val="32"/>
          <w:szCs w:val="32"/>
        </w:rPr>
        <w:t>促进经济发展（标准分值10分）</w:t>
      </w:r>
      <w:bookmarkEnd w:id="58"/>
      <w:bookmarkEnd w:id="59"/>
      <w:bookmarkEnd w:id="60"/>
      <w:bookmarkEnd w:id="61"/>
    </w:p>
    <w:p>
      <w:pPr>
        <w:spacing w:line="560" w:lineRule="exact"/>
        <w:ind w:firstLine="560"/>
        <w:rPr>
          <w:rFonts w:ascii="仿宋_GB2312" w:hAnsi="仿宋_GB2312" w:eastAsia="仿宋_GB2312" w:cs="仿宋_GB2312"/>
          <w:b/>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部门履职对当地经济带来的直接与间接影响。</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根据北港镇人民政府提供的工作总结、自评报告及其他相关资料。2022年，北港镇依托地处湘鄂交界的口子镇地域优势和粮酒酿造优势，大力推进粮酒“十有”建设，充分发挥商贸物流优势，努力发展夜经济，北港烧烤网红店享誉周边县市。庄前、长青产业园发展蓬勃，绿康种业发展规模化，通过一二三产业的融合发展，北港镇各项经济指标呈良势走强。目前，北港镇农商行、邮政银行年存款居全县除城关镇外的乡镇之首，突破5亿，行业经济与居民收入都获得提升。评析认为部门履职对行业经济发展有一定的促进作用</w:t>
      </w:r>
      <w:r>
        <w:rPr>
          <w:rFonts w:hint="eastAsia" w:ascii="仿宋_GB2312" w:hAnsi="仿宋_GB2312" w:eastAsia="仿宋_GB2312" w:cs="仿宋_GB2312"/>
          <w:sz w:val="32"/>
          <w:szCs w:val="32"/>
        </w:rPr>
        <w:t>。</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该项指标得分为10分。</w:t>
      </w:r>
    </w:p>
    <w:p>
      <w:pPr>
        <w:spacing w:line="560" w:lineRule="exact"/>
        <w:ind w:firstLine="600"/>
        <w:rPr>
          <w:rFonts w:ascii="仿宋_GB2312" w:hAnsi="仿宋_GB2312" w:eastAsia="仿宋_GB2312" w:cs="仿宋_GB2312"/>
          <w:b/>
          <w:sz w:val="32"/>
          <w:szCs w:val="32"/>
        </w:rPr>
      </w:pPr>
      <w:r>
        <w:rPr>
          <w:rFonts w:hint="eastAsia" w:ascii="仿宋_GB2312" w:hAnsi="仿宋_GB2312" w:eastAsia="仿宋_GB2312" w:cs="仿宋_GB2312"/>
          <w:b/>
          <w:sz w:val="32"/>
          <w:szCs w:val="32"/>
        </w:rPr>
        <w:t>（2）社会效益</w:t>
      </w:r>
    </w:p>
    <w:p>
      <w:pPr>
        <w:spacing w:line="560" w:lineRule="exact"/>
        <w:ind w:firstLine="615"/>
        <w:rPr>
          <w:rFonts w:ascii="仿宋_GB2312" w:hAnsi="仿宋" w:eastAsia="仿宋_GB2312" w:cs="楷体"/>
          <w:b/>
          <w:bCs/>
          <w:sz w:val="32"/>
          <w:szCs w:val="32"/>
        </w:rPr>
      </w:pPr>
      <w:bookmarkStart w:id="62" w:name="_Toc12465"/>
      <w:bookmarkStart w:id="63" w:name="_Toc8389"/>
      <w:bookmarkStart w:id="64" w:name="_Toc110603988"/>
      <w:bookmarkStart w:id="65" w:name="_Toc110494969"/>
      <w:r>
        <w:rPr>
          <w:rFonts w:hint="eastAsia" w:ascii="仿宋_GB2312" w:hAnsi="仿宋" w:eastAsia="仿宋_GB2312" w:cs="楷体"/>
          <w:b/>
          <w:bCs/>
          <w:sz w:val="32"/>
          <w:szCs w:val="32"/>
        </w:rPr>
        <w:t>优化社会事业（标准分值10分）</w:t>
      </w:r>
      <w:bookmarkEnd w:id="62"/>
      <w:bookmarkEnd w:id="63"/>
      <w:bookmarkEnd w:id="64"/>
      <w:bookmarkEnd w:id="65"/>
    </w:p>
    <w:p>
      <w:pPr>
        <w:spacing w:line="560" w:lineRule="exact"/>
        <w:ind w:firstLine="6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部门履职对当地社会带来的直接与间接影响。</w:t>
      </w:r>
    </w:p>
    <w:p>
      <w:pPr>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根据北港镇人民政府提供的工作总结、自评报告及其他相关资料。2022年，北港镇扎实做好五保、低保核查工作，基本做到应保尽保，应退尽退，弱势群体得到有效救助。深入推进平安北港建设，组建了“一村一辅警”社会治理协理员队伍。全面落实“主要领导挂牌接访、书记陪访、领导包案、定期会商”制度，信访量同比减少，信访案件办结率达到100%，群众反映强烈的热点难点问题得到有效解决，防止了各类社会矛盾的激化。切实把农村乱占耕地建房专项整治、土地卫片执法和耕地保护督察整改作为重大政治任务来抓。全面推进扫黑除恶专项斗争，突出安全生产隐患排查和高风险领域安全防范，打好防范化解重大社会风险攻坚战，营造了和谐稳定的社会治安环境。评析认为部门履职对社会事业发展有一定的促进作用</w:t>
      </w:r>
      <w:r>
        <w:rPr>
          <w:rFonts w:hint="eastAsia" w:ascii="仿宋_GB2312" w:hAnsi="仿宋_GB2312" w:eastAsia="仿宋_GB2312" w:cs="仿宋_GB2312"/>
          <w:sz w:val="32"/>
          <w:szCs w:val="32"/>
        </w:rPr>
        <w:t>。</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该项指标得分为10分。</w:t>
      </w:r>
    </w:p>
    <w:p>
      <w:pPr>
        <w:spacing w:line="560" w:lineRule="exact"/>
        <w:ind w:firstLine="600"/>
        <w:rPr>
          <w:rFonts w:ascii="仿宋_GB2312" w:hAnsi="仿宋_GB2312" w:eastAsia="仿宋_GB2312" w:cs="仿宋_GB2312"/>
          <w:b/>
          <w:sz w:val="32"/>
          <w:szCs w:val="32"/>
        </w:rPr>
      </w:pPr>
      <w:r>
        <w:rPr>
          <w:rFonts w:hint="eastAsia" w:ascii="仿宋_GB2312" w:hAnsi="仿宋_GB2312" w:eastAsia="仿宋_GB2312" w:cs="仿宋_GB2312"/>
          <w:b/>
          <w:sz w:val="32"/>
          <w:szCs w:val="32"/>
        </w:rPr>
        <w:t>（3）生态效益</w:t>
      </w:r>
    </w:p>
    <w:p>
      <w:pPr>
        <w:spacing w:line="560" w:lineRule="exact"/>
        <w:ind w:firstLine="600"/>
        <w:rPr>
          <w:rFonts w:ascii="仿宋_GB2312" w:hAnsi="仿宋" w:eastAsia="仿宋_GB2312" w:cs="楷体"/>
          <w:b/>
          <w:bCs/>
          <w:sz w:val="32"/>
          <w:szCs w:val="32"/>
        </w:rPr>
      </w:pPr>
      <w:r>
        <w:rPr>
          <w:rFonts w:hint="eastAsia" w:ascii="仿宋_GB2312" w:hAnsi="仿宋" w:eastAsia="仿宋_GB2312" w:cs="楷体"/>
          <w:b/>
          <w:bCs/>
          <w:sz w:val="32"/>
          <w:szCs w:val="32"/>
        </w:rPr>
        <w:t>改善人居环境与生态环境（标准分值10分）</w:t>
      </w:r>
    </w:p>
    <w:p>
      <w:pPr>
        <w:spacing w:line="560" w:lineRule="exact"/>
        <w:ind w:firstLine="6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部门履职对当地生态环境带来的直接与间接影响。</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 w:eastAsia="仿宋_GB2312" w:cs="楷体"/>
          <w:sz w:val="32"/>
          <w:szCs w:val="32"/>
        </w:rPr>
        <w:t>根据北港镇人民政府提供的工作总结、自评报告及其他相关资料。2022年，北港镇坚持生态环境是最普惠的民生福祉的思想，深入贯彻落实“绿水青山就是金山银山”的理念，多措并举，全力打好污染防治攻坚战，全镇生态环境质量只升不降。扎实推进专项整治，增强生态文明建设的政治自觉，持续深入开展生态环境专项整治，继续加大环境综合整治，健全垃圾转运机制，推动垃圾分类，抓好门前三包工作。坚决实行逢建必报，积极推进“两违”分类处置工作。农村改厕提升农村农户卫生，基础设施条件改善改变村容村貌12个。人居环境和生态环境都得到一定幅度的提升，居民生活幸福感显著提高</w:t>
      </w:r>
      <w:r>
        <w:rPr>
          <w:rFonts w:hint="eastAsia" w:ascii="仿宋_GB2312" w:hAnsi="仿宋_GB2312" w:eastAsia="仿宋_GB2312" w:cs="仿宋_GB2312"/>
          <w:bCs/>
          <w:sz w:val="32"/>
          <w:szCs w:val="32"/>
        </w:rPr>
        <w:t>。</w:t>
      </w:r>
    </w:p>
    <w:p>
      <w:pPr>
        <w:spacing w:line="560" w:lineRule="exact"/>
        <w:ind w:firstLine="615"/>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该项指标得分为10分。</w:t>
      </w:r>
    </w:p>
    <w:p>
      <w:pPr>
        <w:pStyle w:val="2"/>
        <w:spacing w:line="560" w:lineRule="exact"/>
        <w:ind w:firstLine="643" w:firstLineChars="200"/>
        <w:outlineLvl w:val="2"/>
        <w:rPr>
          <w:rFonts w:ascii="仿宋_GB2312" w:hAnsi="仿宋" w:eastAsia="仿宋_GB2312" w:cs="楷体"/>
          <w:b/>
          <w:bCs/>
          <w:sz w:val="32"/>
          <w:szCs w:val="32"/>
        </w:rPr>
      </w:pPr>
      <w:bookmarkStart w:id="66" w:name="_Toc7708"/>
      <w:r>
        <w:rPr>
          <w:rFonts w:hint="eastAsia" w:ascii="仿宋_GB2312" w:hAnsi="仿宋" w:eastAsia="仿宋_GB2312" w:cs="楷体"/>
          <w:b/>
          <w:bCs/>
          <w:sz w:val="32"/>
          <w:szCs w:val="32"/>
        </w:rPr>
        <w:t>5.可持续发展能力指标完成情况详细分析</w:t>
      </w:r>
      <w:bookmarkEnd w:id="66"/>
    </w:p>
    <w:p>
      <w:pPr>
        <w:pStyle w:val="2"/>
        <w:spacing w:line="560" w:lineRule="exact"/>
        <w:ind w:firstLine="643" w:firstLineChars="200"/>
        <w:outlineLvl w:val="2"/>
        <w:rPr>
          <w:rFonts w:ascii="仿宋_GB2312" w:hAnsi="仿宋" w:eastAsia="仿宋_GB2312" w:cs="楷体"/>
          <w:b/>
          <w:sz w:val="32"/>
          <w:szCs w:val="32"/>
        </w:rPr>
      </w:pPr>
      <w:r>
        <w:rPr>
          <w:rFonts w:hint="eastAsia" w:ascii="仿宋_GB2312" w:hAnsi="仿宋" w:eastAsia="仿宋_GB2312" w:cs="楷体"/>
          <w:b/>
          <w:sz w:val="32"/>
          <w:szCs w:val="32"/>
        </w:rPr>
        <w:t>（1）体制机制改革</w:t>
      </w:r>
    </w:p>
    <w:p>
      <w:pPr>
        <w:spacing w:line="560" w:lineRule="exact"/>
        <w:ind w:firstLine="643" w:firstLineChars="200"/>
        <w:rPr>
          <w:rFonts w:ascii="仿宋_GB2312" w:hAnsi="仿宋" w:eastAsia="仿宋_GB2312" w:cs="楷体"/>
          <w:b/>
          <w:sz w:val="32"/>
          <w:szCs w:val="32"/>
        </w:rPr>
      </w:pPr>
      <w:r>
        <w:rPr>
          <w:rFonts w:hint="eastAsia" w:ascii="仿宋_GB2312" w:hAnsi="仿宋" w:eastAsia="仿宋_GB2312" w:cs="楷体"/>
          <w:b/>
          <w:sz w:val="32"/>
          <w:szCs w:val="32"/>
        </w:rPr>
        <w:t>a）服务体制改革成效（标准分值1分）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服务型政府建设情况，部门服务社会化、服务市场等情况。</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sz w:val="32"/>
          <w:szCs w:val="32"/>
        </w:rPr>
        <w:t>北港镇共有水田1.24万亩，近年来由于大量的人口出去务工、经商、贩酒，导致从事农业劳动的人口比较少，造成农田抛荒4,000多亩。该镇创新“公司+农户”模式，2022年3月成立“湖北农田灭荒农业科技有限公司”，实行规模化流转、机械化作业、科技化应用、精细化管理。公司投入19台旋耕机、收割机等机械设备，几十名专业操作人员，让摞荒地“活”起来。</w:t>
      </w:r>
    </w:p>
    <w:p>
      <w:pPr>
        <w:spacing w:line="560" w:lineRule="exact"/>
        <w:ind w:firstLine="640" w:firstLineChars="200"/>
        <w:rPr>
          <w:rFonts w:ascii="仿宋_GB2312" w:hAnsi="仿宋" w:eastAsia="仿宋_GB2312" w:cs="楷体"/>
          <w:sz w:val="32"/>
          <w:szCs w:val="32"/>
        </w:rPr>
      </w:pPr>
      <w:r>
        <w:rPr>
          <w:rFonts w:hint="eastAsia" w:ascii="仿宋_GB2312" w:hAnsi="仿宋" w:eastAsia="仿宋_GB2312" w:cs="楷体"/>
          <w:sz w:val="32"/>
          <w:szCs w:val="32"/>
        </w:rPr>
        <w:t>2022年镇党委和村两委同步通过“屋场会”、“千名干部进百村入万户”大走访活动广泛征求村民意见。经过协商，公司与农户签订流转协议，土地承包经营权属农户，头三年耕地收益归公司所有，政策性补贴归农户享有，三年后，如果农户愿意自己种，公司无偿归还耕地；如果农户想继续合作，再签订收益分配协议后由公司耕种。2022年3月公司与近千农户签订农田流转协议，农田灭荒4,000余亩。</w:t>
      </w:r>
    </w:p>
    <w:p>
      <w:pPr>
        <w:spacing w:line="560" w:lineRule="exact"/>
        <w:ind w:firstLine="640" w:firstLineChars="200"/>
        <w:rPr>
          <w:rFonts w:ascii="仿宋_GB2312" w:hAnsi="仿宋" w:eastAsia="仿宋_GB2312" w:cs="楷体"/>
          <w:sz w:val="32"/>
          <w:szCs w:val="32"/>
        </w:rPr>
      </w:pPr>
      <w:r>
        <w:rPr>
          <w:rFonts w:hint="eastAsia" w:ascii="仿宋_GB2312" w:hAnsi="仿宋" w:eastAsia="仿宋_GB2312" w:cs="楷体"/>
          <w:sz w:val="32"/>
          <w:szCs w:val="32"/>
        </w:rPr>
        <w:t>7月27日，省政府副省长杨云彦对省政府办公厅第七期《决策调研》“如何让摞荒地‘活’起来的调研与思考”上作出批示：“在全省推广北港镇农田灭荒工作经验”。北港镇创新“公司+农户”模式，公司帮忙耕种既保留了村民的承包经营权，让农民获得一定的收益，安心在外务工，又可以集约化、机械化耕种，提高耕地效率，带动群众特别是脱贫户增收，进一步巩固脱贫攻坚成果。让摞荒地“活”起来是乡村振兴和农业现代化的一种有效探索。</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sz w:val="32"/>
          <w:szCs w:val="32"/>
        </w:rPr>
        <w:t>该项指标评价得分为1分。</w:t>
      </w:r>
    </w:p>
    <w:p>
      <w:pPr>
        <w:spacing w:line="560" w:lineRule="exact"/>
        <w:ind w:firstLine="643" w:firstLineChars="200"/>
        <w:rPr>
          <w:rFonts w:ascii="仿宋_GB2312" w:hAnsi="仿宋" w:eastAsia="仿宋_GB2312" w:cs="楷体"/>
          <w:b/>
          <w:sz w:val="32"/>
          <w:szCs w:val="32"/>
        </w:rPr>
      </w:pPr>
      <w:r>
        <w:rPr>
          <w:rFonts w:hint="eastAsia" w:ascii="仿宋_GB2312" w:hAnsi="仿宋" w:eastAsia="仿宋_GB2312" w:cs="楷体"/>
          <w:b/>
          <w:sz w:val="32"/>
          <w:szCs w:val="32"/>
        </w:rPr>
        <w:t>b）行政管理体制改革成效（标准分值1分）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机构、职能、权力、责任、程序法定化，明确事权和相应的支出责任等情况。</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_GB2312" w:hAnsi="仿宋" w:eastAsia="仿宋_GB2312" w:cs="楷体"/>
          <w:sz w:val="32"/>
          <w:szCs w:val="32"/>
        </w:rPr>
        <w:t>2022年北港镇农业服务中心、镇农技站等部门全程参与灭荒工作，从技术上支持指导灭荒公司实行规模化流转成片种植、机械化作业、精细化管理。至目前，已投入挖机及翻耕、播种等机械设备近20台，农田每亩从耕种到收割等全过程平均成本850余元，较市场化每亩1,000多元成本相比，节省了人工量大、分散经营等投入成本。公司化运作灭荒田，联农带农促增收，北港镇鼓励农户以务工形式参加农田管护工作，农户在享受每年每亩耕地补贴87元的基础上，每年每亩可再获得务工费用260元。</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sz w:val="32"/>
          <w:szCs w:val="32"/>
        </w:rPr>
        <w:t>评价得分：</w:t>
      </w:r>
      <w:r>
        <w:rPr>
          <w:rFonts w:hint="eastAsia" w:ascii="仿宋_GB2312" w:hAnsi="仿宋" w:eastAsia="仿宋_GB2312" w:cs="楷体"/>
          <w:sz w:val="32"/>
          <w:szCs w:val="32"/>
        </w:rPr>
        <w:t>该项指标评价得分1分。</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（2）人才支撑</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a）业务学习与培训完成率（标准分值0.5分）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部门(单位)为履行职责而实际完成的业务学习与培训数与计划工作数之比。</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评价分析：</w:t>
      </w:r>
      <w:r>
        <w:rPr>
          <w:rFonts w:hint="eastAsia" w:ascii="仿宋" w:hAnsi="仿宋" w:eastAsia="仿宋" w:cs="仿宋"/>
          <w:sz w:val="32"/>
          <w:szCs w:val="32"/>
        </w:rPr>
        <w:t>2022年度，按北港镇培训工作计划，平均每月开展2场学习与培训，全年培训场数应在24场以上，根据评价组现场调研北港镇2022年共开展各项培训24次，培训计划完成率100%。</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该项指标评价得分为0.5分。</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b）干部队伍体系建设规划情况（标准分值0.5分）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部门(单位)干部队伍建设是否具备科学合理的制度支撑，人才储备规划是否符合本单位发展需求。</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2022年，北港镇结合本镇实际需求，及时调整意识形态工作领导小组，制定北港镇意识形态工作计划、村级意识形态工作考核细则等，对领导班子的意识形态学习及考核进行了规划</w:t>
      </w:r>
      <w:r>
        <w:rPr>
          <w:rFonts w:hint="eastAsia" w:ascii="仿宋_GB2312" w:hAnsi="仿宋_GB2312" w:eastAsia="仿宋_GB2312" w:cs="仿宋_GB2312"/>
          <w:sz w:val="32"/>
          <w:szCs w:val="32"/>
        </w:rPr>
        <w:t>。</w:t>
      </w:r>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w:t>
      </w:r>
      <w:r>
        <w:rPr>
          <w:rFonts w:hint="eastAsia" w:ascii="仿宋_GB2312" w:hAnsi="仿宋_GB2312" w:eastAsia="仿宋_GB2312" w:cs="仿宋_GB2312"/>
          <w:bCs/>
          <w:sz w:val="32"/>
          <w:szCs w:val="32"/>
        </w:rPr>
        <w:t>满分0.5分。</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c）高学历、高层次人才储备率（标准分值1分）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部门内部高学历人才的占比情况。</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为加强干部队伍建设，北港镇2022年度开展了新一届“两委”干部任职培训，并响应上级号召，积极开展、参与各级培训。根据部门提供的花名册，职工总数36人，其中大学及以上人数18人，高学历人才比率为50%</w:t>
      </w:r>
      <w:r>
        <w:rPr>
          <w:rFonts w:hint="eastAsia" w:ascii="仿宋_GB2312" w:hAnsi="仿宋_GB2312" w:eastAsia="仿宋_GB2312" w:cs="仿宋_GB2312"/>
          <w:sz w:val="32"/>
          <w:szCs w:val="32"/>
        </w:rPr>
        <w:t>。</w:t>
      </w:r>
    </w:p>
    <w:p>
      <w:pPr>
        <w:spacing w:line="560" w:lineRule="exact"/>
        <w:ind w:firstLine="321" w:firstLineChars="1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 w:eastAsia="仿宋_GB2312" w:cs="楷体"/>
          <w:sz w:val="32"/>
          <w:szCs w:val="32"/>
        </w:rPr>
        <w:t>该项指标评价得分为</w:t>
      </w:r>
      <w:r>
        <w:rPr>
          <w:rFonts w:hint="eastAsia" w:ascii="仿宋_GB2312" w:hAnsi="仿宋_GB2312" w:eastAsia="仿宋_GB2312" w:cs="仿宋_GB2312"/>
          <w:bCs/>
          <w:sz w:val="32"/>
          <w:szCs w:val="32"/>
        </w:rPr>
        <w:t>0.5分。</w:t>
      </w:r>
    </w:p>
    <w:p>
      <w:pPr>
        <w:spacing w:line="560" w:lineRule="exact"/>
        <w:ind w:firstLine="321" w:firstLineChars="1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（3）科技支撑</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a）信息化建设情况（标准分值1分）</w:t>
      </w:r>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部门(单位)是否充分运用信息化手段提升工作效率及管理效能。</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经查看北港镇相关信息系统，发现“三资”系统、国有资产管理系统等在业务管理中得到有效应用。</w:t>
      </w:r>
    </w:p>
    <w:p>
      <w:pPr>
        <w:spacing w:line="560" w:lineRule="exact"/>
        <w:ind w:firstLine="56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该项指标得分为满分1分。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b）新技术应用情况（标准分值1分）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 xml:space="preserve">指标内容: </w:t>
      </w:r>
      <w:r>
        <w:rPr>
          <w:rFonts w:hint="eastAsia" w:ascii="仿宋_GB2312" w:hAnsi="仿宋" w:eastAsia="仿宋_GB2312" w:cs="楷体"/>
          <w:sz w:val="32"/>
          <w:szCs w:val="32"/>
        </w:rPr>
        <w:t>政府、行业管理新技术在整个部门的使用情况。</w:t>
      </w:r>
    </w:p>
    <w:p>
      <w:pPr>
        <w:spacing w:line="560" w:lineRule="exact"/>
        <w:ind w:firstLine="6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2022年北港镇以科技支撑农业发展。一是强化农业科技培训服务。进行了多次农村“头雁”培训班，全镇科技能手、种粮大户、新型经营主体负责人都接收了2次或2次以上专业培训。二是提升机械化耕种率。全镇农业生产机械化达到90%以上。全年新购大型拖拉机4台套，大型联合收割机3台。所有械均在农用北斗终端监测下完成作业任务，没有发生死亡安全事故。</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sz w:val="32"/>
          <w:szCs w:val="32"/>
        </w:rPr>
        <w:t>根据评分标准，</w:t>
      </w:r>
      <w:r>
        <w:rPr>
          <w:rFonts w:hint="eastAsia" w:ascii="仿宋_GB2312" w:hAnsi="仿宋_GB2312" w:eastAsia="仿宋_GB2312" w:cs="仿宋_GB2312"/>
          <w:bCs/>
          <w:sz w:val="32"/>
          <w:szCs w:val="32"/>
        </w:rPr>
        <w:t>该项指标得分为1分。</w:t>
      </w:r>
    </w:p>
    <w:p>
      <w:pPr>
        <w:pStyle w:val="2"/>
        <w:spacing w:line="560" w:lineRule="exact"/>
        <w:ind w:firstLine="643" w:firstLineChars="200"/>
        <w:outlineLvl w:val="2"/>
        <w:rPr>
          <w:rFonts w:ascii="仿宋_GB2312" w:hAnsi="Times New Roman" w:eastAsia="仿宋_GB2312"/>
          <w:b/>
          <w:bCs/>
          <w:sz w:val="32"/>
          <w:szCs w:val="32"/>
        </w:rPr>
      </w:pPr>
      <w:bookmarkStart w:id="67" w:name="_Toc16058"/>
      <w:r>
        <w:rPr>
          <w:rFonts w:hint="eastAsia" w:ascii="仿宋_GB2312" w:hAnsi="Times New Roman" w:eastAsia="仿宋_GB2312"/>
          <w:b/>
          <w:bCs/>
          <w:sz w:val="32"/>
          <w:szCs w:val="32"/>
        </w:rPr>
        <w:t>6.满意度指标完成情况详细分析</w:t>
      </w:r>
      <w:bookmarkEnd w:id="67"/>
    </w:p>
    <w:p>
      <w:pPr>
        <w:spacing w:line="560" w:lineRule="exact"/>
        <w:ind w:firstLine="615"/>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（1）服务对象满意度</w:t>
      </w:r>
    </w:p>
    <w:p>
      <w:pPr>
        <w:spacing w:line="560" w:lineRule="exact"/>
        <w:ind w:firstLine="643" w:firstLineChars="200"/>
        <w:rPr>
          <w:rFonts w:ascii="仿宋_GB2312" w:hAnsi="仿宋" w:eastAsia="仿宋_GB2312" w:cs="楷体"/>
          <w:b/>
          <w:bCs/>
          <w:sz w:val="32"/>
          <w:szCs w:val="32"/>
        </w:rPr>
      </w:pPr>
      <w:bookmarkStart w:id="68" w:name="_Toc110603993"/>
      <w:bookmarkStart w:id="69" w:name="_Toc20328"/>
      <w:bookmarkStart w:id="70" w:name="_Toc25168"/>
      <w:bookmarkStart w:id="71" w:name="_Toc110494974"/>
      <w:r>
        <w:rPr>
          <w:rFonts w:hint="eastAsia" w:ascii="仿宋_GB2312" w:hAnsi="仿宋" w:eastAsia="仿宋_GB2312" w:cs="楷体"/>
          <w:b/>
          <w:bCs/>
          <w:sz w:val="32"/>
          <w:szCs w:val="32"/>
        </w:rPr>
        <w:t>外部人员（群众）满意度（标准分值2分）</w:t>
      </w:r>
      <w:bookmarkEnd w:id="68"/>
      <w:bookmarkEnd w:id="69"/>
      <w:bookmarkEnd w:id="70"/>
      <w:bookmarkEnd w:id="71"/>
    </w:p>
    <w:p>
      <w:pPr>
        <w:spacing w:line="560" w:lineRule="exact"/>
        <w:ind w:firstLine="643" w:firstLineChars="200"/>
        <w:rPr>
          <w:rFonts w:ascii="仿宋_GB2312" w:hAnsi="仿宋" w:eastAsia="仿宋_GB2312" w:cs="楷体"/>
          <w:sz w:val="32"/>
          <w:szCs w:val="32"/>
        </w:rPr>
      </w:pPr>
      <w:r>
        <w:rPr>
          <w:rFonts w:hint="eastAsia" w:ascii="仿宋_GB2312" w:hAnsi="仿宋" w:eastAsia="仿宋_GB2312" w:cs="楷体"/>
          <w:b/>
          <w:sz w:val="32"/>
          <w:szCs w:val="32"/>
        </w:rPr>
        <w:t>指标内容:</w:t>
      </w:r>
      <w:r>
        <w:rPr>
          <w:rFonts w:hint="eastAsia"/>
        </w:rPr>
        <w:t xml:space="preserve"> </w:t>
      </w:r>
      <w:r>
        <w:rPr>
          <w:rFonts w:hint="eastAsia" w:ascii="仿宋_GB2312" w:hAnsi="仿宋" w:eastAsia="仿宋_GB2312" w:cs="楷体"/>
          <w:sz w:val="32"/>
          <w:szCs w:val="32"/>
        </w:rPr>
        <w:t>部门服务的外部对象对部门履职效果的认可度。</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本次共发放居民满意度调查问卷15分，收回调查问卷15份，根据调查问卷题10“您对镇政府工作现状的总体评价”的结果进行统计，群众对镇人民政府部门整体工作满意度达到95%</w:t>
      </w:r>
      <w:r>
        <w:rPr>
          <w:rFonts w:hint="eastAsia" w:ascii="仿宋_GB2312" w:hAnsi="仿宋_GB2312" w:eastAsia="仿宋_GB2312" w:cs="仿宋_GB2312"/>
          <w:sz w:val="32"/>
          <w:szCs w:val="32"/>
        </w:rPr>
        <w:t>。</w:t>
      </w:r>
    </w:p>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该项指标得满分2分。</w:t>
      </w:r>
    </w:p>
    <w:p>
      <w:pPr>
        <w:spacing w:line="560" w:lineRule="exact"/>
        <w:ind w:firstLine="643"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（2）服务对象满意度</w:t>
      </w:r>
    </w:p>
    <w:p>
      <w:pPr>
        <w:spacing w:line="560" w:lineRule="exact"/>
        <w:ind w:firstLine="643" w:firstLineChars="200"/>
        <w:rPr>
          <w:rFonts w:ascii="仿宋_GB2312" w:hAnsi="仿宋" w:eastAsia="仿宋_GB2312" w:cs="楷体"/>
          <w:b/>
          <w:bCs/>
          <w:sz w:val="32"/>
          <w:szCs w:val="32"/>
        </w:rPr>
      </w:pPr>
      <w:r>
        <w:rPr>
          <w:rFonts w:hint="eastAsia" w:ascii="仿宋_GB2312" w:hAnsi="仿宋" w:eastAsia="仿宋_GB2312" w:cs="楷体"/>
          <w:b/>
          <w:bCs/>
          <w:sz w:val="32"/>
          <w:szCs w:val="32"/>
        </w:rPr>
        <w:t>内部干部满意度（标准分值2分）</w:t>
      </w:r>
    </w:p>
    <w:p>
      <w:pPr>
        <w:spacing w:line="560" w:lineRule="exact"/>
        <w:ind w:firstLine="643" w:firstLineChars="200"/>
        <w:rPr>
          <w:rFonts w:ascii="仿宋_GB2312" w:hAnsi="仿宋_GB2312" w:eastAsia="仿宋_GB2312" w:cs="仿宋_GB2312"/>
          <w:b/>
          <w:sz w:val="32"/>
          <w:szCs w:val="32"/>
        </w:rPr>
      </w:pPr>
      <w:r>
        <w:rPr>
          <w:rFonts w:hint="eastAsia" w:ascii="仿宋_GB2312" w:hAnsi="仿宋" w:eastAsia="仿宋_GB2312" w:cs="楷体"/>
          <w:b/>
          <w:sz w:val="32"/>
          <w:szCs w:val="32"/>
        </w:rPr>
        <w:t>指标内容:</w:t>
      </w:r>
      <w:r>
        <w:rPr>
          <w:rFonts w:hint="eastAsia" w:ascii="仿宋_GB2312" w:hAnsi="仿宋" w:eastAsia="仿宋_GB2312" w:cs="楷体"/>
          <w:sz w:val="32"/>
          <w:szCs w:val="32"/>
        </w:rPr>
        <w:t xml:space="preserve"> 部门内部相关人员对部门履职效果的认可度。</w:t>
      </w:r>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b/>
          <w:sz w:val="32"/>
          <w:szCs w:val="32"/>
        </w:rPr>
        <w:t>评价分析：</w:t>
      </w:r>
      <w:r>
        <w:rPr>
          <w:rFonts w:hint="eastAsia" w:ascii="仿宋_GB2312" w:hAnsi="仿宋_GB2312" w:eastAsia="仿宋_GB2312" w:cs="仿宋_GB2312"/>
          <w:bCs/>
          <w:sz w:val="32"/>
          <w:szCs w:val="32"/>
        </w:rPr>
        <w:t>本次共发放内部干部满意度调查问卷15分，收回调查问卷15份，根据调查问卷题10“您对北港镇人民政府部门整体工作满意度”的结果进行统计，内部干部对镇人民政府部门整体工作满意度达到95%。</w:t>
      </w:r>
    </w:p>
    <w:p>
      <w:pPr>
        <w:spacing w:line="560" w:lineRule="exact"/>
        <w:ind w:firstLine="643" w:firstLineChars="200"/>
        <w:rPr>
          <w:rFonts w:ascii="仿宋_GB2312" w:hAnsi="仿宋_GB2312" w:eastAsia="仿宋_GB2312" w:cs="仿宋_GB2312"/>
          <w:bCs/>
          <w:sz w:val="32"/>
          <w:szCs w:val="32"/>
        </w:rPr>
      </w:pPr>
      <w:bookmarkStart w:id="72" w:name="_Toc27945"/>
      <w:bookmarkStart w:id="73" w:name="_Toc16733"/>
      <w:r>
        <w:rPr>
          <w:rFonts w:hint="eastAsia" w:ascii="仿宋_GB2312" w:hAnsi="仿宋_GB2312" w:eastAsia="仿宋_GB2312" w:cs="仿宋_GB2312"/>
          <w:b/>
          <w:sz w:val="32"/>
          <w:szCs w:val="32"/>
        </w:rPr>
        <w:t>评价得分：</w:t>
      </w:r>
      <w:r>
        <w:rPr>
          <w:rFonts w:hint="eastAsia" w:ascii="仿宋_GB2312" w:hAnsi="仿宋_GB2312" w:eastAsia="仿宋_GB2312" w:cs="仿宋_GB2312"/>
          <w:bCs/>
          <w:sz w:val="32"/>
          <w:szCs w:val="32"/>
        </w:rPr>
        <w:t>该项指标得满分2分。</w:t>
      </w:r>
      <w:bookmarkEnd w:id="72"/>
      <w:bookmarkEnd w:id="73"/>
    </w:p>
    <w:p>
      <w:pPr>
        <w:pStyle w:val="2"/>
        <w:spacing w:line="560" w:lineRule="exact"/>
        <w:ind w:firstLine="643" w:firstLineChars="200"/>
        <w:outlineLvl w:val="2"/>
        <w:rPr>
          <w:rFonts w:ascii="仿宋_GB2312" w:hAnsi="Times New Roman" w:eastAsia="仿宋_GB2312"/>
          <w:b/>
          <w:bCs/>
          <w:sz w:val="32"/>
          <w:szCs w:val="32"/>
        </w:rPr>
      </w:pPr>
      <w:bookmarkStart w:id="74" w:name="_Toc1792"/>
      <w:bookmarkStart w:id="75" w:name="_Toc6513"/>
      <w:bookmarkStart w:id="76" w:name="_Toc26863"/>
      <w:bookmarkStart w:id="77" w:name="_Toc11588"/>
      <w:r>
        <w:rPr>
          <w:rFonts w:hint="eastAsia" w:ascii="仿宋_GB2312" w:hAnsi="Times New Roman" w:eastAsia="仿宋_GB2312"/>
          <w:b/>
          <w:bCs/>
          <w:sz w:val="32"/>
          <w:szCs w:val="32"/>
        </w:rPr>
        <w:t>7.评价得分</w:t>
      </w:r>
      <w:bookmarkEnd w:id="74"/>
      <w:r>
        <w:rPr>
          <w:rFonts w:hint="eastAsia" w:ascii="仿宋_GB2312" w:hAnsi="Times New Roman" w:eastAsia="仿宋_GB2312"/>
          <w:b/>
          <w:bCs/>
          <w:sz w:val="32"/>
          <w:szCs w:val="32"/>
        </w:rPr>
        <w:t>与等级</w:t>
      </w:r>
      <w:bookmarkEnd w:id="75"/>
      <w:bookmarkEnd w:id="76"/>
    </w:p>
    <w:p>
      <w:pPr>
        <w:spacing w:line="560" w:lineRule="exact"/>
        <w:ind w:firstLine="600"/>
        <w:rPr>
          <w:rFonts w:ascii="仿宋_GB2312" w:hAnsi="仿宋_GB2312" w:eastAsia="仿宋_GB2312" w:cs="仿宋_GB2312"/>
          <w:b/>
          <w:bCs/>
          <w:sz w:val="32"/>
          <w:szCs w:val="32"/>
        </w:rPr>
      </w:pPr>
      <w:r>
        <w:rPr>
          <w:rFonts w:hint="eastAsia" w:ascii="仿宋_GB2312" w:hAnsi="仿宋_GB2312" w:eastAsia="仿宋_GB2312" w:cs="仿宋_GB2312"/>
          <w:sz w:val="32"/>
          <w:szCs w:val="32"/>
        </w:rPr>
        <w:t>根据部门整体支出绩效指标评价分析与打分结果，以总分100分计，该镇2022年部门整体支出实施绩效综合得分为89.81分，评价等级为“良”。基本指标综合得分及等级如下表：</w:t>
      </w:r>
    </w:p>
    <w:p>
      <w:pPr>
        <w:spacing w:line="560" w:lineRule="exact"/>
        <w:ind w:firstLine="2409" w:firstLineChars="800"/>
        <w:rPr>
          <w:rFonts w:ascii="宋体" w:hAnsi="宋体" w:cs="宋体"/>
          <w:b/>
          <w:sz w:val="30"/>
          <w:szCs w:val="30"/>
        </w:rPr>
      </w:pPr>
      <w:r>
        <w:rPr>
          <w:rFonts w:hint="eastAsia" w:ascii="宋体" w:hAnsi="宋体" w:cs="宋体"/>
          <w:b/>
          <w:sz w:val="30"/>
          <w:szCs w:val="30"/>
        </w:rPr>
        <w:t>绩效指标评价得分及等级表</w:t>
      </w:r>
    </w:p>
    <w:tbl>
      <w:tblPr>
        <w:tblStyle w:val="10"/>
        <w:tblW w:w="8364" w:type="dxa"/>
        <w:jc w:val="center"/>
        <w:tblLayout w:type="fixed"/>
        <w:tblCellMar>
          <w:top w:w="15" w:type="dxa"/>
          <w:left w:w="15" w:type="dxa"/>
          <w:bottom w:w="15" w:type="dxa"/>
          <w:right w:w="15" w:type="dxa"/>
        </w:tblCellMar>
      </w:tblPr>
      <w:tblGrid>
        <w:gridCol w:w="2410"/>
        <w:gridCol w:w="1985"/>
        <w:gridCol w:w="1984"/>
        <w:gridCol w:w="1985"/>
      </w:tblGrid>
      <w:tr>
        <w:tblPrEx>
          <w:tblCellMar>
            <w:top w:w="15" w:type="dxa"/>
            <w:left w:w="15" w:type="dxa"/>
            <w:bottom w:w="15" w:type="dxa"/>
            <w:right w:w="15" w:type="dxa"/>
          </w:tblCellMar>
        </w:tblPrEx>
        <w:trPr>
          <w:trHeight w:val="598"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标准分值</w:t>
            </w:r>
          </w:p>
        </w:tc>
        <w:tc>
          <w:tcPr>
            <w:tcW w:w="198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评价得分</w:t>
            </w:r>
          </w:p>
        </w:tc>
        <w:tc>
          <w:tcPr>
            <w:tcW w:w="1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仿宋"/>
                <w:b/>
                <w:color w:val="000000"/>
                <w:sz w:val="24"/>
              </w:rPr>
            </w:pPr>
            <w:r>
              <w:rPr>
                <w:rFonts w:hint="eastAsia" w:ascii="宋体" w:hAnsi="宋体" w:cs="仿宋"/>
                <w:b/>
                <w:color w:val="000000"/>
                <w:sz w:val="24"/>
              </w:rPr>
              <w:t>评价等级</w:t>
            </w:r>
          </w:p>
        </w:tc>
      </w:tr>
      <w:tr>
        <w:tblPrEx>
          <w:tblCellMar>
            <w:top w:w="15" w:type="dxa"/>
            <w:left w:w="15" w:type="dxa"/>
            <w:bottom w:w="15" w:type="dxa"/>
            <w:right w:w="15" w:type="dxa"/>
          </w:tblCellMar>
        </w:tblPrEx>
        <w:trPr>
          <w:trHeight w:val="380"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运行成本</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8</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7.41</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优</w:t>
            </w:r>
          </w:p>
        </w:tc>
      </w:tr>
      <w:tr>
        <w:tblPrEx>
          <w:tblCellMar>
            <w:top w:w="15" w:type="dxa"/>
            <w:left w:w="15" w:type="dxa"/>
            <w:bottom w:w="15" w:type="dxa"/>
            <w:right w:w="15" w:type="dxa"/>
          </w:tblCellMar>
        </w:tblPrEx>
        <w:trPr>
          <w:trHeight w:val="374"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管理效率</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22</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16.9</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中</w:t>
            </w:r>
          </w:p>
        </w:tc>
      </w:tr>
      <w:tr>
        <w:tblPrEx>
          <w:tblCellMar>
            <w:top w:w="15" w:type="dxa"/>
            <w:left w:w="15" w:type="dxa"/>
            <w:bottom w:w="15" w:type="dxa"/>
            <w:right w:w="15" w:type="dxa"/>
          </w:tblCellMar>
        </w:tblPrEx>
        <w:trPr>
          <w:trHeight w:val="401"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履职效能</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26</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良</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社会效应</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30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30</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rPr>
              <w:t>可持续发展能力</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6</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kern w:val="0"/>
                <w:sz w:val="24"/>
              </w:rPr>
            </w:pPr>
            <w:r>
              <w:rPr>
                <w:rFonts w:hint="eastAsia" w:ascii="宋体" w:hAnsi="宋体" w:cs="仿宋"/>
                <w:color w:val="000000"/>
                <w:kern w:val="0"/>
                <w:sz w:val="24"/>
              </w:rPr>
              <w:t>5.5</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409"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kern w:val="0"/>
                <w:sz w:val="24"/>
              </w:rPr>
              <w:t>服务对象满意度</w:t>
            </w:r>
          </w:p>
        </w:tc>
        <w:tc>
          <w:tcPr>
            <w:tcW w:w="198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hint="eastAsia" w:ascii="宋体" w:hAnsi="宋体" w:cs="仿宋"/>
                <w:color w:val="000000"/>
                <w:sz w:val="24"/>
              </w:rPr>
              <w:t>4</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color w:val="000000"/>
                <w:sz w:val="24"/>
              </w:rPr>
            </w:pPr>
            <w:r>
              <w:rPr>
                <w:rFonts w:ascii="宋体" w:hAnsi="宋体" w:cs="仿宋"/>
                <w:color w:val="000000"/>
                <w:sz w:val="24"/>
              </w:rPr>
              <w:t>优</w:t>
            </w:r>
          </w:p>
        </w:tc>
      </w:tr>
      <w:tr>
        <w:tblPrEx>
          <w:tblCellMar>
            <w:top w:w="15" w:type="dxa"/>
            <w:left w:w="15" w:type="dxa"/>
            <w:bottom w:w="15" w:type="dxa"/>
            <w:right w:w="15" w:type="dxa"/>
          </w:tblCellMar>
        </w:tblPrEx>
        <w:trPr>
          <w:trHeight w:val="375" w:hRule="atLeast"/>
          <w:jc w:val="center"/>
        </w:trPr>
        <w:tc>
          <w:tcPr>
            <w:tcW w:w="24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kern w:val="0"/>
                <w:sz w:val="24"/>
              </w:rPr>
              <w:t>100</w:t>
            </w:r>
          </w:p>
        </w:tc>
        <w:tc>
          <w:tcPr>
            <w:tcW w:w="19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89.81</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仿宋"/>
                <w:b/>
                <w:color w:val="000000"/>
                <w:sz w:val="24"/>
              </w:rPr>
            </w:pPr>
            <w:r>
              <w:rPr>
                <w:rFonts w:hint="eastAsia" w:ascii="宋体" w:hAnsi="宋体" w:cs="仿宋"/>
                <w:b/>
                <w:color w:val="000000"/>
                <w:sz w:val="24"/>
              </w:rPr>
              <w:t>良</w:t>
            </w:r>
          </w:p>
        </w:tc>
      </w:tr>
    </w:tbl>
    <w:p>
      <w:pPr>
        <w:pStyle w:val="2"/>
        <w:spacing w:line="560" w:lineRule="exact"/>
        <w:ind w:firstLine="643" w:firstLineChars="200"/>
        <w:outlineLvl w:val="1"/>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（四）存在的其他问题和原因</w:t>
      </w:r>
      <w:bookmarkEnd w:id="77"/>
    </w:p>
    <w:p>
      <w:pPr>
        <w:pStyle w:val="2"/>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北港镇人民政府整体支出除绩效指标分析中指出的问题外，未发现其他方面的问题。</w:t>
      </w:r>
    </w:p>
    <w:p>
      <w:pPr>
        <w:spacing w:line="560" w:lineRule="exact"/>
        <w:ind w:firstLine="643" w:firstLineChars="200"/>
        <w:outlineLvl w:val="1"/>
        <w:rPr>
          <w:rFonts w:ascii="楷体_GB2312" w:hAnsi="楷体_GB2312" w:eastAsia="楷体_GB2312" w:cs="楷体_GB2312"/>
          <w:b/>
          <w:bCs/>
          <w:sz w:val="32"/>
          <w:szCs w:val="32"/>
        </w:rPr>
      </w:pPr>
      <w:bookmarkStart w:id="78" w:name="_Toc17512"/>
      <w:r>
        <w:rPr>
          <w:rFonts w:hint="eastAsia" w:ascii="楷体_GB2312" w:hAnsi="楷体_GB2312" w:eastAsia="楷体_GB2312" w:cs="楷体_GB2312"/>
          <w:b/>
          <w:bCs/>
          <w:sz w:val="32"/>
          <w:szCs w:val="32"/>
        </w:rPr>
        <w:t>（五）评价工作与评价报告其他需说明的问题</w:t>
      </w:r>
      <w:bookmarkEnd w:id="78"/>
    </w:p>
    <w:p>
      <w:pPr>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1.本次项目评价中存在局限性的说明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绩效评价报告的评价分析与评价结论的可靠性一方面取决于项目单位提供资料的合规性、真实性和完整性；同时也取决于评价工作人员对部门及行业的了解程度、专业知识和评价能力的限制，对指标评价的把握性，一定程度上影响本次绩效评价结论的准确性。</w:t>
      </w:r>
    </w:p>
    <w:p>
      <w:pPr>
        <w:spacing w:line="560" w:lineRule="exact"/>
        <w:ind w:firstLine="643" w:firstLineChars="200"/>
        <w:rPr>
          <w:rFonts w:ascii="仿宋_GB2312" w:hAnsi="仿宋" w:eastAsia="仿宋_GB2312"/>
          <w:sz w:val="32"/>
          <w:szCs w:val="32"/>
        </w:rPr>
      </w:pPr>
      <w:r>
        <w:rPr>
          <w:rFonts w:hint="eastAsia" w:ascii="仿宋_GB2312" w:hAnsi="仿宋" w:eastAsia="仿宋_GB2312"/>
          <w:b/>
          <w:bCs/>
          <w:sz w:val="32"/>
          <w:szCs w:val="32"/>
        </w:rPr>
        <w:t>2.提示报告使用者注意事项的说明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绩效评价报告的评价结论和评价意见，仅是针对北港镇人民政府2022年度部门整体支出绩效目标而进行的，不应视为是对部门工作的全面评价，也不应视为是对部门财务状况的客观性、公允性发表评审意见。因使用不当而发生的不利事项，与本次执行评价的第三方评价机构和执行评价的工作人员无关。</w:t>
      </w:r>
    </w:p>
    <w:p>
      <w:pPr>
        <w:pStyle w:val="2"/>
        <w:spacing w:line="560" w:lineRule="exact"/>
        <w:ind w:firstLine="640" w:firstLineChars="200"/>
        <w:outlineLvl w:val="1"/>
        <w:rPr>
          <w:rFonts w:ascii="楷体_GB2312" w:hAnsi="楷体_GB2312" w:eastAsia="楷体_GB2312" w:cs="楷体_GB2312"/>
          <w:sz w:val="32"/>
          <w:szCs w:val="32"/>
        </w:rPr>
      </w:pPr>
      <w:bookmarkStart w:id="79" w:name="_Toc6882"/>
      <w:r>
        <w:rPr>
          <w:rFonts w:hint="eastAsia" w:ascii="楷体_GB2312" w:hAnsi="楷体_GB2312" w:eastAsia="楷体_GB2312" w:cs="楷体_GB2312"/>
          <w:sz w:val="32"/>
          <w:szCs w:val="32"/>
        </w:rPr>
        <w:t>（六）其他佐证材料</w:t>
      </w:r>
      <w:bookmarkEnd w:id="79"/>
    </w:p>
    <w:p>
      <w:pPr>
        <w:tabs>
          <w:tab w:val="left" w:pos="10245"/>
        </w:tabs>
        <w:spacing w:line="560" w:lineRule="exact"/>
        <w:ind w:firstLine="640" w:firstLineChars="200"/>
        <w:rPr>
          <w:rFonts w:ascii="仿宋_GB2312" w:hAnsi="仿宋" w:eastAsia="仿宋_GB2312" w:cs="楷体"/>
          <w:sz w:val="32"/>
          <w:szCs w:val="32"/>
        </w:rPr>
      </w:pPr>
      <w:r>
        <w:rPr>
          <w:rFonts w:hint="eastAsia" w:ascii="仿宋_GB2312" w:hAnsi="仿宋" w:eastAsia="仿宋_GB2312" w:cs="楷体"/>
          <w:sz w:val="32"/>
          <w:szCs w:val="32"/>
        </w:rPr>
        <w:t>1</w:t>
      </w:r>
      <w:r>
        <w:rPr>
          <w:rFonts w:ascii="仿宋_GB2312" w:hAnsi="仿宋" w:eastAsia="仿宋_GB2312" w:cs="楷体"/>
          <w:sz w:val="32"/>
          <w:szCs w:val="32"/>
        </w:rPr>
        <w:t>.</w:t>
      </w:r>
      <w:r>
        <w:rPr>
          <w:rFonts w:hint="eastAsia" w:ascii="仿宋_GB2312" w:hAnsi="仿宋" w:eastAsia="仿宋_GB2312" w:cs="楷体"/>
          <w:sz w:val="32"/>
          <w:szCs w:val="32"/>
        </w:rPr>
        <w:t>北港镇人民政府2022年部门整体支出绩效评价指标体系及评分表</w:t>
      </w:r>
    </w:p>
    <w:p>
      <w:pPr>
        <w:tabs>
          <w:tab w:val="left" w:pos="10245"/>
        </w:tabs>
        <w:spacing w:line="560" w:lineRule="exact"/>
        <w:ind w:firstLine="600"/>
        <w:rPr>
          <w:rFonts w:ascii="仿宋_GB2312" w:hAnsi="仿宋" w:eastAsia="仿宋_GB2312" w:cs="楷体"/>
          <w:sz w:val="32"/>
          <w:szCs w:val="32"/>
        </w:rPr>
      </w:pPr>
      <w:r>
        <w:rPr>
          <w:rFonts w:hint="eastAsia" w:ascii="仿宋_GB2312" w:hAnsi="仿宋" w:eastAsia="仿宋_GB2312" w:cs="楷体"/>
          <w:sz w:val="32"/>
          <w:szCs w:val="32"/>
        </w:rPr>
        <w:t>2.北港镇人民政府2022年度部门支出绩效评价问题总结</w:t>
      </w:r>
    </w:p>
    <w:p>
      <w:pPr>
        <w:tabs>
          <w:tab w:val="left" w:pos="10245"/>
        </w:tabs>
        <w:spacing w:line="560" w:lineRule="exact"/>
        <w:ind w:firstLine="600"/>
        <w:rPr>
          <w:rFonts w:ascii="仿宋_GB2312" w:hAnsi="仿宋" w:eastAsia="仿宋_GB2312" w:cs="楷体"/>
          <w:sz w:val="32"/>
          <w:szCs w:val="32"/>
        </w:rPr>
      </w:pPr>
      <w:r>
        <w:rPr>
          <w:rFonts w:hint="eastAsia" w:ascii="仿宋_GB2312" w:hAnsi="仿宋" w:eastAsia="仿宋_GB2312" w:cs="楷体"/>
          <w:sz w:val="32"/>
          <w:szCs w:val="32"/>
        </w:rPr>
        <w:t>3.北港镇人民政府部门支出绩效评价座谈会议记录及照片</w:t>
      </w:r>
    </w:p>
    <w:p>
      <w:pPr>
        <w:tabs>
          <w:tab w:val="left" w:pos="10245"/>
        </w:tabs>
        <w:spacing w:line="560" w:lineRule="exact"/>
        <w:ind w:firstLine="600"/>
        <w:rPr>
          <w:rFonts w:ascii="仿宋_GB2312" w:hAnsi="仿宋" w:eastAsia="仿宋_GB2312" w:cs="楷体"/>
          <w:sz w:val="32"/>
          <w:szCs w:val="32"/>
        </w:rPr>
      </w:pPr>
      <w:r>
        <w:rPr>
          <w:rFonts w:hint="eastAsia" w:ascii="仿宋_GB2312" w:hAnsi="仿宋" w:eastAsia="仿宋_GB2312" w:cs="楷体"/>
          <w:sz w:val="32"/>
          <w:szCs w:val="32"/>
        </w:rPr>
        <w:t>4.北港镇人民政府部门支出绩效评价调查问卷</w:t>
      </w:r>
    </w:p>
    <w:p>
      <w:pPr>
        <w:tabs>
          <w:tab w:val="left" w:pos="10245"/>
        </w:tabs>
        <w:spacing w:line="560" w:lineRule="exact"/>
        <w:ind w:firstLine="600"/>
        <w:rPr>
          <w:rFonts w:ascii="仿宋_GB2312" w:hAnsi="仿宋" w:eastAsia="仿宋_GB2312" w:cs="楷体"/>
          <w:sz w:val="32"/>
          <w:szCs w:val="32"/>
        </w:rPr>
      </w:pPr>
      <w:r>
        <w:rPr>
          <w:rFonts w:hint="eastAsia" w:ascii="仿宋_GB2312" w:hAnsi="仿宋" w:eastAsia="仿宋_GB2312" w:cs="楷体"/>
          <w:sz w:val="32"/>
          <w:szCs w:val="32"/>
        </w:rPr>
        <w:t>5.绩效评价工作方案</w:t>
      </w:r>
    </w:p>
    <w:p>
      <w:pPr>
        <w:tabs>
          <w:tab w:val="left" w:pos="10245"/>
        </w:tabs>
        <w:spacing w:line="560" w:lineRule="exact"/>
        <w:ind w:firstLine="600"/>
      </w:pPr>
    </w:p>
    <w:p>
      <w:pPr>
        <w:pStyle w:val="4"/>
      </w:pPr>
    </w:p>
    <w:p>
      <w:pPr>
        <w:pStyle w:val="2"/>
        <w:spacing w:line="560" w:lineRule="exact"/>
        <w:rPr>
          <w:rFonts w:ascii="仿宋_GB2312" w:hAnsi="Times New Roman" w:eastAsia="仿宋_GB2312"/>
          <w:sz w:val="32"/>
          <w:szCs w:val="32"/>
        </w:rPr>
      </w:pPr>
    </w:p>
    <w:p>
      <w:pPr>
        <w:spacing w:line="560" w:lineRule="exact"/>
        <w:ind w:firstLine="4480" w:firstLineChars="1400"/>
        <w:rPr>
          <w:rFonts w:ascii="仿宋_GB2312" w:hAnsi="楷体" w:eastAsia="仿宋_GB2312" w:cs="楷体"/>
          <w:sz w:val="32"/>
          <w:szCs w:val="32"/>
        </w:rPr>
      </w:pPr>
      <w:r>
        <w:rPr>
          <w:rFonts w:hint="eastAsia" w:ascii="仿宋_GB2312" w:hAnsi="楷体" w:eastAsia="仿宋_GB2312" w:cs="楷体"/>
          <w:sz w:val="32"/>
          <w:szCs w:val="32"/>
        </w:rPr>
        <w:t>湖北恒信会计师事务有限公司</w:t>
      </w:r>
    </w:p>
    <w:p>
      <w:pPr>
        <w:spacing w:line="560" w:lineRule="exact"/>
        <w:ind w:firstLine="5440" w:firstLineChars="1700"/>
        <w:rPr>
          <w:rFonts w:ascii="仿宋_GB2312" w:hAnsi="楷体" w:eastAsia="仿宋_GB2312" w:cs="楷体"/>
          <w:sz w:val="32"/>
          <w:szCs w:val="32"/>
        </w:rPr>
      </w:pPr>
      <w:r>
        <w:rPr>
          <w:rFonts w:hint="eastAsia" w:ascii="仿宋_GB2312" w:hAnsi="楷体" w:eastAsia="仿宋_GB2312" w:cs="楷体"/>
          <w:sz w:val="32"/>
          <w:szCs w:val="32"/>
        </w:rPr>
        <w:t>2023年9月2</w:t>
      </w:r>
      <w:r>
        <w:rPr>
          <w:rFonts w:hint="eastAsia" w:ascii="仿宋_GB2312" w:hAnsi="楷体" w:eastAsia="仿宋_GB2312" w:cs="楷体"/>
          <w:sz w:val="32"/>
          <w:szCs w:val="32"/>
          <w:lang w:val="en-US" w:eastAsia="zh-CN"/>
        </w:rPr>
        <w:t>8</w:t>
      </w:r>
      <w:r>
        <w:rPr>
          <w:rFonts w:hint="eastAsia" w:ascii="仿宋_GB2312" w:hAnsi="楷体" w:eastAsia="仿宋_GB2312" w:cs="楷体"/>
          <w:sz w:val="32"/>
          <w:szCs w:val="32"/>
        </w:rPr>
        <w:t>日</w:t>
      </w:r>
    </w:p>
    <w:sectPr>
      <w:pgSz w:w="11906" w:h="16838"/>
      <w:pgMar w:top="2098" w:right="1474" w:bottom="1984" w:left="1587" w:header="851" w:footer="992" w:gutter="0"/>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sz w:val="18"/>
        <w:szCs w:val="18"/>
      </w:rPr>
    </w:pPr>
    <w:r>
      <w:rPr>
        <w:rFonts w:hint="eastAsia"/>
        <w:sz w:val="18"/>
        <w:szCs w:val="18"/>
      </w:rPr>
      <w:t xml:space="preserve">                                                                                          </w:t>
    </w:r>
    <w:r>
      <w:rPr>
        <w:rFonts w:hint="eastAsia" w:ascii="Times New Roman" w:hAnsi="Times New Roman"/>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sz w:val="18"/>
        <w:szCs w:val="18"/>
      </w:rPr>
    </w:pPr>
    <w:r>
      <w:rPr>
        <w:sz w:val="18"/>
        <w:szCs w:val="18"/>
      </w:rPr>
      <w:fldChar w:fldCharType="begin"/>
    </w:r>
    <w:r>
      <w:rPr>
        <w:rFonts w:ascii="Times New Roman" w:hAnsi="Times New Roman"/>
        <w:sz w:val="18"/>
        <w:szCs w:val="18"/>
      </w:rPr>
      <w:instrText xml:space="preserve">PAGE  </w:instrText>
    </w:r>
    <w:r>
      <w:rPr>
        <w:sz w:val="18"/>
        <w:szCs w:val="18"/>
      </w:rPr>
      <w:fldChar w:fldCharType="separate"/>
    </w:r>
    <w:r>
      <w:rPr>
        <w:rFonts w:ascii="Times New Roman" w:hAnsi="Times New Roman"/>
        <w:sz w:val="18"/>
        <w:szCs w:val="18"/>
      </w:rPr>
      <w:t>8</w:t>
    </w:r>
    <w:r>
      <w:rPr>
        <w:sz w:val="18"/>
        <w:szCs w:val="18"/>
      </w:rPr>
      <w:fldChar w:fldCharType="end"/>
    </w:r>
  </w:p>
  <w:p>
    <w:pPr>
      <w:tabs>
        <w:tab w:val="center" w:pos="4153"/>
        <w:tab w:val="right" w:pos="8306"/>
      </w:tabs>
      <w:snapToGrid w:val="0"/>
      <w:ind w:right="360"/>
      <w:jc w:val="left"/>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sz w:val="18"/>
        <w:szCs w:val="18"/>
      </w:rPr>
    </w:pPr>
    <w:r>
      <w:rPr>
        <w:rFonts w:hint="eastAsia"/>
        <w:sz w:val="18"/>
        <w:szCs w:val="18"/>
      </w:rPr>
      <w:t xml:space="preserve">                                                                                             </w:t>
    </w:r>
    <w:r>
      <w:rPr>
        <w:rFonts w:hint="eastAsia" w:ascii="Times New Roman" w:hAnsi="Times New Roman"/>
        <w:sz w:val="18"/>
        <w:szCs w:val="18"/>
      </w:rPr>
      <w:t xml:space="preserve">  </w:t>
    </w:r>
    <w:r>
      <w:rPr>
        <w:sz w:val="18"/>
        <w:szCs w:val="18"/>
      </w:rPr>
      <w:fldChar w:fldCharType="begin"/>
    </w:r>
    <w:r>
      <w:rPr>
        <w:rFonts w:ascii="Times New Roman" w:hAnsi="Times New Roman"/>
        <w:sz w:val="18"/>
        <w:szCs w:val="18"/>
      </w:rPr>
      <w:instrText xml:space="preserve"> PAGE </w:instrText>
    </w:r>
    <w:r>
      <w:rPr>
        <w:sz w:val="18"/>
        <w:szCs w:val="18"/>
      </w:rPr>
      <w:fldChar w:fldCharType="separate"/>
    </w:r>
    <w:r>
      <w:rPr>
        <w:rFonts w:ascii="Times New Roman" w:hAnsi="Times New Roman"/>
        <w:sz w:val="18"/>
        <w:szCs w:val="18"/>
      </w:rPr>
      <w:t>1</w:t>
    </w:r>
    <w:r>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center"/>
      <w:rPr>
        <w:sz w:val="18"/>
        <w:szCs w:val="18"/>
      </w:rPr>
    </w:pPr>
    <w:r>
      <w:rPr>
        <w:sz w:val="18"/>
        <w:szCs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snapToGrid w:val="0"/>
                            <w:jc w:val="left"/>
                            <w:rPr>
                              <w:sz w:val="18"/>
                              <w:szCs w:val="1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pPr>
                      <w:tabs>
                        <w:tab w:val="center" w:pos="4153"/>
                        <w:tab w:val="right" w:pos="8306"/>
                      </w:tabs>
                      <w:snapToGrid w:val="0"/>
                      <w:jc w:val="left"/>
                      <w:rPr>
                        <w:sz w:val="18"/>
                        <w:szCs w:val="1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49</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p>
    <w:pPr>
      <w:rPr>
        <w:rFonts w:ascii="Times New Roman" w:hAnsi="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500" w:lineRule="exac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8530D9"/>
    <w:multiLevelType w:val="multilevel"/>
    <w:tmpl w:val="3A8530D9"/>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kMDMxZjRkODYyMmY3NTZkNDk0ZTAyZTQzZGJmNDMifQ=="/>
  </w:docVars>
  <w:rsids>
    <w:rsidRoot w:val="008C3C59"/>
    <w:rsid w:val="000219AD"/>
    <w:rsid w:val="000513E3"/>
    <w:rsid w:val="00061F68"/>
    <w:rsid w:val="00063C87"/>
    <w:rsid w:val="00071490"/>
    <w:rsid w:val="000A2CAD"/>
    <w:rsid w:val="000B191F"/>
    <w:rsid w:val="000B622B"/>
    <w:rsid w:val="000B6286"/>
    <w:rsid w:val="000E138D"/>
    <w:rsid w:val="000F57CB"/>
    <w:rsid w:val="000F6C50"/>
    <w:rsid w:val="001253D5"/>
    <w:rsid w:val="00126A3E"/>
    <w:rsid w:val="00134E28"/>
    <w:rsid w:val="00157332"/>
    <w:rsid w:val="00161757"/>
    <w:rsid w:val="00175EED"/>
    <w:rsid w:val="00184F1A"/>
    <w:rsid w:val="00186FCF"/>
    <w:rsid w:val="001B3696"/>
    <w:rsid w:val="001B426C"/>
    <w:rsid w:val="001D0F2D"/>
    <w:rsid w:val="001D5F04"/>
    <w:rsid w:val="001E30CF"/>
    <w:rsid w:val="001E39CF"/>
    <w:rsid w:val="0022153F"/>
    <w:rsid w:val="00245736"/>
    <w:rsid w:val="002500B4"/>
    <w:rsid w:val="002A5936"/>
    <w:rsid w:val="002B2BCD"/>
    <w:rsid w:val="002C389D"/>
    <w:rsid w:val="002C5D51"/>
    <w:rsid w:val="002D1B24"/>
    <w:rsid w:val="002F4CF5"/>
    <w:rsid w:val="002F7B8F"/>
    <w:rsid w:val="00302375"/>
    <w:rsid w:val="00364C2D"/>
    <w:rsid w:val="003A45B7"/>
    <w:rsid w:val="003B6B47"/>
    <w:rsid w:val="003C3FD6"/>
    <w:rsid w:val="003D4CEF"/>
    <w:rsid w:val="003F0CD3"/>
    <w:rsid w:val="00455524"/>
    <w:rsid w:val="00457434"/>
    <w:rsid w:val="00482237"/>
    <w:rsid w:val="00482CBA"/>
    <w:rsid w:val="004C7AC0"/>
    <w:rsid w:val="00506E7E"/>
    <w:rsid w:val="005140AA"/>
    <w:rsid w:val="0052524F"/>
    <w:rsid w:val="00583F2C"/>
    <w:rsid w:val="00595F1E"/>
    <w:rsid w:val="005A2651"/>
    <w:rsid w:val="005B7F75"/>
    <w:rsid w:val="005C2828"/>
    <w:rsid w:val="005D5DAA"/>
    <w:rsid w:val="005E3E19"/>
    <w:rsid w:val="00603B6E"/>
    <w:rsid w:val="00607281"/>
    <w:rsid w:val="00612E1F"/>
    <w:rsid w:val="00623533"/>
    <w:rsid w:val="0063262B"/>
    <w:rsid w:val="00633438"/>
    <w:rsid w:val="00635F80"/>
    <w:rsid w:val="006458B3"/>
    <w:rsid w:val="00684C3F"/>
    <w:rsid w:val="006917D2"/>
    <w:rsid w:val="0069774C"/>
    <w:rsid w:val="006B40FE"/>
    <w:rsid w:val="006C4214"/>
    <w:rsid w:val="006F67BD"/>
    <w:rsid w:val="00703D98"/>
    <w:rsid w:val="007143A7"/>
    <w:rsid w:val="00763ADC"/>
    <w:rsid w:val="00791FFF"/>
    <w:rsid w:val="007C3F46"/>
    <w:rsid w:val="00815DAD"/>
    <w:rsid w:val="00844C7A"/>
    <w:rsid w:val="00855C5D"/>
    <w:rsid w:val="00867840"/>
    <w:rsid w:val="008824F5"/>
    <w:rsid w:val="008C21CC"/>
    <w:rsid w:val="008C3C59"/>
    <w:rsid w:val="008D772C"/>
    <w:rsid w:val="008E555B"/>
    <w:rsid w:val="008E701E"/>
    <w:rsid w:val="008F1810"/>
    <w:rsid w:val="008F2DF5"/>
    <w:rsid w:val="008F64DB"/>
    <w:rsid w:val="009104D1"/>
    <w:rsid w:val="009267DF"/>
    <w:rsid w:val="009320A8"/>
    <w:rsid w:val="00933DE2"/>
    <w:rsid w:val="00941709"/>
    <w:rsid w:val="00944A53"/>
    <w:rsid w:val="009460E7"/>
    <w:rsid w:val="0096092C"/>
    <w:rsid w:val="0098287D"/>
    <w:rsid w:val="009A5BF7"/>
    <w:rsid w:val="009B544B"/>
    <w:rsid w:val="009C0E00"/>
    <w:rsid w:val="009C79C9"/>
    <w:rsid w:val="009E33D8"/>
    <w:rsid w:val="00A63CE4"/>
    <w:rsid w:val="00AA6271"/>
    <w:rsid w:val="00AB17D7"/>
    <w:rsid w:val="00AC14EE"/>
    <w:rsid w:val="00AC79A8"/>
    <w:rsid w:val="00AD166A"/>
    <w:rsid w:val="00B02A54"/>
    <w:rsid w:val="00B24F70"/>
    <w:rsid w:val="00B34B2B"/>
    <w:rsid w:val="00B6724C"/>
    <w:rsid w:val="00B71E81"/>
    <w:rsid w:val="00B778F2"/>
    <w:rsid w:val="00BC2A4C"/>
    <w:rsid w:val="00BD6238"/>
    <w:rsid w:val="00BD72AD"/>
    <w:rsid w:val="00BF450B"/>
    <w:rsid w:val="00BF64E4"/>
    <w:rsid w:val="00C52F65"/>
    <w:rsid w:val="00C84398"/>
    <w:rsid w:val="00C91FBB"/>
    <w:rsid w:val="00C97506"/>
    <w:rsid w:val="00CA4AC8"/>
    <w:rsid w:val="00CC27CF"/>
    <w:rsid w:val="00CC417E"/>
    <w:rsid w:val="00CD7F03"/>
    <w:rsid w:val="00D10F68"/>
    <w:rsid w:val="00D157BD"/>
    <w:rsid w:val="00D3660A"/>
    <w:rsid w:val="00D52AF8"/>
    <w:rsid w:val="00D602F2"/>
    <w:rsid w:val="00D60EE3"/>
    <w:rsid w:val="00D81CEB"/>
    <w:rsid w:val="00D8237C"/>
    <w:rsid w:val="00D96544"/>
    <w:rsid w:val="00D978F2"/>
    <w:rsid w:val="00DE0A23"/>
    <w:rsid w:val="00E04604"/>
    <w:rsid w:val="00E062F5"/>
    <w:rsid w:val="00E14272"/>
    <w:rsid w:val="00E14E20"/>
    <w:rsid w:val="00E16D40"/>
    <w:rsid w:val="00E17137"/>
    <w:rsid w:val="00E35E12"/>
    <w:rsid w:val="00E415D2"/>
    <w:rsid w:val="00E536D2"/>
    <w:rsid w:val="00E56744"/>
    <w:rsid w:val="00E56C13"/>
    <w:rsid w:val="00E65A06"/>
    <w:rsid w:val="00E67F85"/>
    <w:rsid w:val="00E907E2"/>
    <w:rsid w:val="00EA1B33"/>
    <w:rsid w:val="00EB3EEF"/>
    <w:rsid w:val="00EC3BEA"/>
    <w:rsid w:val="00EC5FA9"/>
    <w:rsid w:val="00ED16E4"/>
    <w:rsid w:val="00EF17F5"/>
    <w:rsid w:val="00F12E9E"/>
    <w:rsid w:val="00F22300"/>
    <w:rsid w:val="00F34416"/>
    <w:rsid w:val="00F35825"/>
    <w:rsid w:val="00F531C6"/>
    <w:rsid w:val="00F632F2"/>
    <w:rsid w:val="00F66637"/>
    <w:rsid w:val="00F718E1"/>
    <w:rsid w:val="00F831AA"/>
    <w:rsid w:val="00F86B5C"/>
    <w:rsid w:val="00FC492E"/>
    <w:rsid w:val="02B72A40"/>
    <w:rsid w:val="04CE5ACF"/>
    <w:rsid w:val="08352E29"/>
    <w:rsid w:val="19D92AF4"/>
    <w:rsid w:val="19E01E99"/>
    <w:rsid w:val="326F10A5"/>
    <w:rsid w:val="39337116"/>
    <w:rsid w:val="406531F0"/>
    <w:rsid w:val="457C3485"/>
    <w:rsid w:val="4AF710B7"/>
    <w:rsid w:val="52F1476D"/>
    <w:rsid w:val="5A81638E"/>
    <w:rsid w:val="5BF579BC"/>
    <w:rsid w:val="717A75CA"/>
    <w:rsid w:val="73677337"/>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4"/>
    <w:next w:val="4"/>
    <w:qFormat/>
    <w:uiPriority w:val="9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next w:val="1"/>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customStyle="1" w:styleId="4">
    <w:name w:val="Table of Authorities1"/>
    <w:basedOn w:val="1"/>
    <w:next w:val="1"/>
    <w:qFormat/>
    <w:uiPriority w:val="99"/>
    <w:pPr>
      <w:ind w:left="420" w:leftChars="200"/>
    </w:pPr>
  </w:style>
  <w:style w:type="paragraph" w:styleId="5">
    <w:name w:val="toc 3"/>
    <w:basedOn w:val="1"/>
    <w:next w:val="1"/>
    <w:qFormat/>
    <w:uiPriority w:val="39"/>
    <w:pPr>
      <w:ind w:left="840" w:leftChars="400"/>
    </w:pPr>
  </w:style>
  <w:style w:type="paragraph" w:styleId="6">
    <w:name w:val="Balloon Text"/>
    <w:basedOn w:val="1"/>
    <w:link w:val="13"/>
    <w:qFormat/>
    <w:uiPriority w:val="0"/>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批注框文本 Char"/>
    <w:basedOn w:val="11"/>
    <w:link w:val="6"/>
    <w:qFormat/>
    <w:uiPriority w:val="0"/>
    <w:rPr>
      <w:rFonts w:ascii="Calibri" w:hAnsi="Calibri" w:eastAsia="宋体" w:cs="Times New Roman"/>
      <w:kern w:val="2"/>
      <w:sz w:val="18"/>
      <w:szCs w:val="18"/>
    </w:rPr>
  </w:style>
  <w:style w:type="paragraph" w:styleId="14">
    <w:name w:val="List Paragraph"/>
    <w:basedOn w:val="1"/>
    <w:unhideWhenUsed/>
    <w:qFormat/>
    <w:uiPriority w:val="99"/>
    <w:pPr>
      <w:ind w:firstLine="420" w:firstLineChars="200"/>
    </w:pPr>
  </w:style>
  <w:style w:type="character" w:customStyle="1" w:styleId="15">
    <w:name w:val="页眉 Char"/>
    <w:basedOn w:val="11"/>
    <w:link w:val="7"/>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E6B118-248E-4B99-9607-FF7ADA6D7E3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54</Pages>
  <Words>23443</Words>
  <Characters>24791</Characters>
  <Lines>1</Lines>
  <Paragraphs>1</Paragraphs>
  <TotalTime>0</TotalTime>
  <ScaleCrop>false</ScaleCrop>
  <LinksUpToDate>false</LinksUpToDate>
  <CharactersWithSpaces>26486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2023-08-11T07:46:00Z</dcterms:created>
  <dc:creator>mini</dc:creator>
  <cp:lastModifiedBy>行笔言飞</cp:lastModifiedBy>
  <cp:lastPrinted>2023-09-25T06:36:36Z</cp:lastPrinted>
  <dcterms:modified xsi:type="dcterms:W3CDTF">2023-09-25T06:37:20Z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