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楷体" w:hAnsi="楷体" w:eastAsia="楷体"/>
          <w:bCs/>
          <w:sz w:val="36"/>
          <w:szCs w:val="36"/>
        </w:rPr>
      </w:pPr>
      <w:r>
        <w:rPr>
          <w:rFonts w:hint="eastAsia" w:ascii="楷体" w:hAnsi="楷体" w:eastAsia="楷体" w:cs="楷体"/>
          <w:bCs/>
          <w:sz w:val="36"/>
          <w:szCs w:val="36"/>
          <w:lang w:val="en-US" w:eastAsia="zh-CN"/>
        </w:rPr>
        <w:t>报告编码：</w:t>
      </w:r>
      <w:r>
        <w:rPr>
          <w:rFonts w:hint="eastAsia" w:ascii="楷体" w:hAnsi="楷体" w:eastAsia="楷体" w:cs="楷体"/>
          <w:bCs/>
          <w:sz w:val="36"/>
          <w:szCs w:val="36"/>
        </w:rPr>
        <w:t>鄂恒会咨字﹝</w:t>
      </w:r>
      <w:r>
        <w:rPr>
          <w:rFonts w:ascii="楷体" w:hAnsi="楷体" w:eastAsia="楷体" w:cs="楷体"/>
          <w:bCs/>
          <w:sz w:val="36"/>
          <w:szCs w:val="36"/>
        </w:rPr>
        <w:t>202</w:t>
      </w:r>
      <w:r>
        <w:rPr>
          <w:rFonts w:hint="eastAsia" w:ascii="楷体" w:hAnsi="楷体" w:eastAsia="楷体" w:cs="楷体"/>
          <w:bCs/>
          <w:sz w:val="36"/>
          <w:szCs w:val="36"/>
        </w:rPr>
        <w:t>3﹞035号</w:t>
      </w:r>
    </w:p>
    <w:p>
      <w:pPr>
        <w:rPr>
          <w:rFonts w:ascii="华文中宋" w:hAnsi="华文中宋" w:eastAsia="华文中宋"/>
          <w:b/>
          <w:sz w:val="10"/>
          <w:szCs w:val="10"/>
        </w:rPr>
      </w:pPr>
    </w:p>
    <w:p>
      <w:pPr>
        <w:jc w:val="center"/>
        <w:rPr>
          <w:rFonts w:ascii="华文中宋" w:hAnsi="华文中宋" w:eastAsia="华文中宋"/>
          <w:b/>
          <w:sz w:val="10"/>
          <w:szCs w:val="10"/>
        </w:rPr>
      </w:pPr>
    </w:p>
    <w:p>
      <w:pPr>
        <w:jc w:val="center"/>
        <w:outlineLvl w:val="0"/>
        <w:rPr>
          <w:rFonts w:ascii="方正小标宋简体" w:hAnsi="方正小标宋简体" w:eastAsia="方正小标宋简体" w:cs="方正小标宋简体"/>
          <w:b/>
          <w:sz w:val="48"/>
          <w:szCs w:val="48"/>
        </w:rPr>
      </w:pPr>
      <w:r>
        <w:rPr>
          <w:rFonts w:hint="eastAsia" w:ascii="方正小标宋简体" w:hAnsi="方正小标宋简体" w:eastAsia="方正小标宋简体" w:cs="方正小标宋简体"/>
          <w:b/>
          <w:sz w:val="48"/>
          <w:szCs w:val="48"/>
        </w:rPr>
        <w:t>通城县预算绩效评价报告</w:t>
      </w:r>
    </w:p>
    <w:p>
      <w:pPr>
        <w:rPr>
          <w:rFonts w:ascii="黑体" w:hAnsi="黑体" w:eastAsia="黑体"/>
          <w:sz w:val="10"/>
          <w:szCs w:val="10"/>
        </w:rPr>
      </w:pPr>
    </w:p>
    <w:p>
      <w:pPr>
        <w:rPr>
          <w:rFonts w:ascii="楷体_GB2312" w:hAnsi="楷体" w:eastAsia="楷体_GB2312"/>
          <w:sz w:val="36"/>
          <w:szCs w:val="36"/>
        </w:rPr>
      </w:pPr>
      <w:r>
        <w:rPr>
          <w:rFonts w:hint="eastAsia" w:ascii="黑体" w:hAnsi="黑体" w:eastAsia="黑体"/>
          <w:sz w:val="32"/>
          <w:szCs w:val="32"/>
        </w:rPr>
        <w:t xml:space="preserve"> </w:t>
      </w:r>
      <w:r>
        <w:rPr>
          <w:rFonts w:ascii="黑体" w:hAnsi="黑体" w:eastAsia="黑体"/>
          <w:sz w:val="32"/>
          <w:szCs w:val="32"/>
        </w:rPr>
        <w:t xml:space="preserve">                 </w:t>
      </w:r>
      <w:r>
        <w:rPr>
          <w:rFonts w:hint="eastAsia" w:ascii="黑体" w:hAnsi="黑体" w:eastAsia="黑体"/>
          <w:sz w:val="32"/>
          <w:szCs w:val="32"/>
        </w:rPr>
        <w:t xml:space="preserve"> </w:t>
      </w:r>
      <w:r>
        <w:rPr>
          <w:rFonts w:ascii="黑体" w:hAnsi="黑体" w:eastAsia="黑体"/>
          <w:sz w:val="32"/>
          <w:szCs w:val="32"/>
        </w:rPr>
        <w:t xml:space="preserve"> </w:t>
      </w:r>
      <w:r>
        <w:rPr>
          <w:rFonts w:hint="eastAsia" w:ascii="楷体_GB2312" w:hAnsi="楷体" w:eastAsia="楷体_GB2312"/>
          <w:sz w:val="36"/>
          <w:szCs w:val="36"/>
        </w:rPr>
        <w:t>（缩略版）</w:t>
      </w: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华文中宋" w:hAnsi="华文中宋" w:eastAsia="华文中宋" w:cs="楷体"/>
          <w:sz w:val="36"/>
          <w:szCs w:val="36"/>
        </w:rPr>
      </w:pPr>
    </w:p>
    <w:p>
      <w:pPr>
        <w:ind w:left="1800" w:hanging="1800" w:hangingChars="500"/>
        <w:rPr>
          <w:rFonts w:ascii="华文中宋" w:hAnsi="华文中宋" w:eastAsia="华文中宋" w:cs="楷体"/>
          <w:sz w:val="36"/>
          <w:szCs w:val="36"/>
        </w:rPr>
      </w:pPr>
      <w:r>
        <w:rPr>
          <w:rFonts w:hint="eastAsia" w:ascii="华文中宋" w:hAnsi="华文中宋" w:eastAsia="华文中宋" w:cs="楷体"/>
          <w:sz w:val="36"/>
          <w:szCs w:val="36"/>
        </w:rPr>
        <w:t>报告名称：2</w:t>
      </w:r>
      <w:r>
        <w:rPr>
          <w:rFonts w:ascii="华文中宋" w:hAnsi="华文中宋" w:eastAsia="华文中宋" w:cs="楷体"/>
          <w:sz w:val="36"/>
          <w:szCs w:val="36"/>
        </w:rPr>
        <w:t>02</w:t>
      </w:r>
      <w:r>
        <w:rPr>
          <w:rFonts w:hint="eastAsia" w:ascii="华文中宋" w:hAnsi="华文中宋" w:eastAsia="华文中宋" w:cs="楷体"/>
          <w:sz w:val="36"/>
          <w:szCs w:val="36"/>
        </w:rPr>
        <w:t>2年度石南镇人民政府部门整体</w:t>
      </w:r>
    </w:p>
    <w:p>
      <w:pPr>
        <w:ind w:left="1795" w:leftChars="855"/>
        <w:rPr>
          <w:rFonts w:ascii="华文中宋" w:hAnsi="华文中宋" w:eastAsia="华文中宋" w:cs="楷体"/>
          <w:sz w:val="36"/>
          <w:szCs w:val="36"/>
        </w:rPr>
      </w:pPr>
      <w:r>
        <w:rPr>
          <w:rFonts w:hint="eastAsia" w:ascii="华文中宋" w:hAnsi="华文中宋" w:eastAsia="华文中宋" w:cs="楷体"/>
          <w:sz w:val="36"/>
          <w:szCs w:val="36"/>
        </w:rPr>
        <w:t>绩效评价报告</w:t>
      </w:r>
    </w:p>
    <w:p>
      <w:pPr>
        <w:rPr>
          <w:rFonts w:ascii="华文中宋" w:hAnsi="华文中宋" w:eastAsia="华文中宋" w:cs="楷体"/>
          <w:sz w:val="36"/>
          <w:szCs w:val="36"/>
        </w:rPr>
      </w:pPr>
      <w:r>
        <w:rPr>
          <w:rFonts w:hint="eastAsia" w:ascii="华文中宋" w:hAnsi="华文中宋" w:eastAsia="华文中宋" w:cs="楷体"/>
          <w:sz w:val="36"/>
          <w:szCs w:val="36"/>
        </w:rPr>
        <w:t>预算部门（单位）：石南镇人民政府</w:t>
      </w:r>
    </w:p>
    <w:p>
      <w:pPr>
        <w:rPr>
          <w:rFonts w:ascii="华文中宋" w:hAnsi="华文中宋" w:eastAsia="华文中宋" w:cs="楷体"/>
          <w:sz w:val="36"/>
          <w:szCs w:val="36"/>
        </w:rPr>
      </w:pPr>
      <w:r>
        <w:rPr>
          <w:rFonts w:hint="eastAsia" w:ascii="华文中宋" w:hAnsi="华文中宋" w:eastAsia="华文中宋" w:cs="楷体"/>
          <w:sz w:val="36"/>
          <w:szCs w:val="36"/>
        </w:rPr>
        <w:t>预算年度：20</w:t>
      </w:r>
      <w:r>
        <w:rPr>
          <w:rFonts w:ascii="华文中宋" w:hAnsi="华文中宋" w:eastAsia="华文中宋" w:cs="楷体"/>
          <w:sz w:val="36"/>
          <w:szCs w:val="36"/>
        </w:rPr>
        <w:t>2</w:t>
      </w:r>
      <w:r>
        <w:rPr>
          <w:rFonts w:hint="eastAsia" w:ascii="华文中宋" w:hAnsi="华文中宋" w:eastAsia="华文中宋" w:cs="楷体"/>
          <w:sz w:val="36"/>
          <w:szCs w:val="36"/>
        </w:rPr>
        <w:t>2年度</w:t>
      </w:r>
    </w:p>
    <w:p>
      <w:pPr>
        <w:rPr>
          <w:rFonts w:ascii="华文中宋" w:hAnsi="华文中宋" w:eastAsia="华文中宋" w:cs="楷体"/>
          <w:sz w:val="36"/>
          <w:szCs w:val="36"/>
        </w:rPr>
      </w:pPr>
      <w:r>
        <w:rPr>
          <w:rFonts w:hint="eastAsia" w:ascii="华文中宋" w:hAnsi="华文中宋" w:eastAsia="华文中宋" w:cs="楷体"/>
          <w:sz w:val="36"/>
          <w:szCs w:val="36"/>
        </w:rPr>
        <w:t>评价类型：项目</w:t>
      </w:r>
      <w:r>
        <w:rPr>
          <w:rFonts w:hint="eastAsia" w:ascii="华文中宋" w:hAnsi="华文中宋" w:eastAsia="华文中宋"/>
          <w:sz w:val="36"/>
          <w:szCs w:val="36"/>
        </w:rPr>
        <w:sym w:font="Wingdings" w:char="00A8"/>
      </w:r>
      <w:r>
        <w:rPr>
          <w:rFonts w:hint="eastAsia" w:ascii="华文中宋" w:hAnsi="华文中宋" w:eastAsia="华文中宋" w:cs="楷体"/>
          <w:sz w:val="36"/>
          <w:szCs w:val="36"/>
        </w:rPr>
        <w:t xml:space="preserve">  政策</w:t>
      </w:r>
      <w:r>
        <w:rPr>
          <w:rFonts w:hint="eastAsia" w:ascii="华文中宋" w:hAnsi="华文中宋" w:eastAsia="华文中宋"/>
          <w:sz w:val="36"/>
          <w:szCs w:val="36"/>
        </w:rPr>
        <w:sym w:font="Wingdings" w:char="00A8"/>
      </w:r>
      <w:r>
        <w:rPr>
          <w:rFonts w:hint="eastAsia" w:ascii="华文中宋" w:hAnsi="华文中宋" w:eastAsia="华文中宋" w:cs="楷体"/>
          <w:sz w:val="36"/>
          <w:szCs w:val="36"/>
        </w:rPr>
        <w:t xml:space="preserve">  部门整体</w:t>
      </w:r>
      <w:r>
        <w:rPr>
          <w:rFonts w:hint="eastAsia" w:ascii="华文中宋" w:hAnsi="华文中宋" w:eastAsia="华文中宋"/>
          <w:sz w:val="36"/>
          <w:szCs w:val="36"/>
        </w:rPr>
        <w:sym w:font="Wingdings" w:char="00FE"/>
      </w:r>
    </w:p>
    <w:p>
      <w:pPr>
        <w:rPr>
          <w:rFonts w:ascii="华文中宋" w:hAnsi="华文中宋" w:eastAsia="华文中宋" w:cs="楷体"/>
          <w:sz w:val="36"/>
          <w:szCs w:val="36"/>
        </w:rPr>
      </w:pPr>
    </w:p>
    <w:p>
      <w:pPr>
        <w:rPr>
          <w:rFonts w:ascii="华文中宋" w:hAnsi="华文中宋" w:eastAsia="华文中宋" w:cs="楷体"/>
          <w:sz w:val="36"/>
          <w:szCs w:val="36"/>
        </w:rPr>
      </w:pPr>
      <w:r>
        <w:rPr>
          <w:rFonts w:hint="eastAsia" w:ascii="华文中宋" w:hAnsi="华文中宋" w:eastAsia="华文中宋" w:cs="楷体"/>
          <w:sz w:val="36"/>
          <w:szCs w:val="36"/>
        </w:rPr>
        <w:t>评价单位：湖北恒信会计师事务有限公司</w:t>
      </w:r>
    </w:p>
    <w:p>
      <w:pPr>
        <w:rPr>
          <w:rFonts w:ascii="华文中宋" w:hAnsi="华文中宋" w:eastAsia="华文中宋" w:cs="楷体"/>
          <w:sz w:val="36"/>
          <w:szCs w:val="36"/>
        </w:rPr>
      </w:pPr>
      <w:r>
        <w:rPr>
          <w:rFonts w:hint="eastAsia" w:ascii="华文中宋" w:hAnsi="华文中宋" w:eastAsia="华文中宋" w:cs="楷体"/>
          <w:sz w:val="36"/>
          <w:szCs w:val="36"/>
        </w:rPr>
        <w:t>主评人1：丁永宏</w:t>
      </w:r>
    </w:p>
    <w:p>
      <w:pPr>
        <w:rPr>
          <w:rFonts w:ascii="华文中宋" w:hAnsi="华文中宋" w:eastAsia="华文中宋" w:cs="楷体"/>
          <w:sz w:val="36"/>
          <w:szCs w:val="36"/>
        </w:rPr>
      </w:pPr>
      <w:r>
        <w:rPr>
          <w:rFonts w:hint="eastAsia" w:ascii="华文中宋" w:hAnsi="华文中宋" w:eastAsia="华文中宋" w:cs="楷体"/>
          <w:sz w:val="36"/>
          <w:szCs w:val="36"/>
        </w:rPr>
        <w:t>主评人2：刘沐晗</w:t>
      </w:r>
    </w:p>
    <w:p>
      <w:pPr>
        <w:rPr>
          <w:rFonts w:ascii="华文中宋" w:hAnsi="华文中宋" w:eastAsia="华文中宋" w:cs="楷体"/>
          <w:sz w:val="36"/>
          <w:szCs w:val="36"/>
          <w:highlight w:val="red"/>
        </w:rPr>
      </w:pPr>
      <w:r>
        <w:rPr>
          <w:rFonts w:hint="eastAsia" w:ascii="华文中宋" w:hAnsi="华文中宋" w:eastAsia="华文中宋" w:cs="楷体"/>
          <w:sz w:val="36"/>
          <w:szCs w:val="36"/>
        </w:rPr>
        <w:t>正式提交日期：2023年9月28日</w:t>
      </w:r>
    </w:p>
    <w:p>
      <w:pPr>
        <w:rPr>
          <w:rFonts w:ascii="华文中宋" w:hAnsi="华文中宋" w:eastAsia="华文中宋" w:cs="楷体"/>
          <w:sz w:val="36"/>
          <w:szCs w:val="36"/>
        </w:rPr>
      </w:pPr>
      <w:r>
        <w:rPr>
          <w:rFonts w:ascii="华文中宋" w:hAnsi="华文中宋" w:eastAsia="华文中宋" w:cs="楷体"/>
          <w:sz w:val="36"/>
          <w:szCs w:val="36"/>
        </w:rPr>
        <w:br w:type="page"/>
      </w:r>
    </w:p>
    <w:p>
      <w:pPr>
        <w:pStyle w:val="2"/>
      </w:pPr>
    </w:p>
    <w:p>
      <w:pPr>
        <w:jc w:val="center"/>
        <w:rPr>
          <w:rFonts w:ascii="方正小标宋简体" w:hAnsi="方正小标宋简体" w:eastAsia="方正小标宋简体" w:cs="方正小标宋简体"/>
          <w:b/>
          <w:sz w:val="36"/>
          <w:szCs w:val="36"/>
        </w:rPr>
      </w:pPr>
      <w:r>
        <w:rPr>
          <w:rFonts w:ascii="楷体" w:hAnsi="楷体" w:eastAsia="楷体" w:cs="楷体"/>
          <w:b/>
          <w:sz w:val="36"/>
          <w:szCs w:val="36"/>
        </w:rPr>
        <w:br w:type="page"/>
      </w:r>
      <w:r>
        <w:rPr>
          <w:rFonts w:hint="eastAsia" w:ascii="方正小标宋简体" w:hAnsi="方正小标宋简体" w:eastAsia="方正小标宋简体" w:cs="方正小标宋简体"/>
          <w:b/>
          <w:sz w:val="36"/>
          <w:szCs w:val="36"/>
        </w:rPr>
        <w:t>目 录</w:t>
      </w:r>
    </w:p>
    <w:p>
      <w:pPr>
        <w:pStyle w:val="2"/>
        <w:rPr>
          <w:rFonts w:ascii="方正小标宋简体" w:hAnsi="方正小标宋简体" w:eastAsia="方正小标宋简体" w:cs="方正小标宋简体"/>
          <w:b/>
          <w:sz w:val="36"/>
          <w:szCs w:val="36"/>
        </w:rPr>
      </w:pPr>
    </w:p>
    <w:p>
      <w:pPr>
        <w:pStyle w:val="8"/>
        <w:tabs>
          <w:tab w:val="right" w:leader="dot" w:pos="8306"/>
        </w:tabs>
        <w:rPr>
          <w:rFonts w:eastAsia="仿宋_GB2312"/>
          <w:sz w:val="28"/>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TOC \o "1-3" \h \u </w:instrText>
      </w:r>
      <w:r>
        <w:rPr>
          <w:rFonts w:hint="eastAsia" w:ascii="仿宋_GB2312" w:hAnsi="仿宋_GB2312" w:eastAsia="仿宋_GB2312" w:cs="仿宋_GB2312"/>
          <w:sz w:val="30"/>
          <w:szCs w:val="30"/>
        </w:rPr>
        <w:fldChar w:fldCharType="separate"/>
      </w:r>
      <w:r>
        <w:fldChar w:fldCharType="begin"/>
      </w:r>
      <w:r>
        <w:instrText xml:space="preserve"> HYPERLINK \l "_Toc11736" </w:instrText>
      </w:r>
      <w:r>
        <w:fldChar w:fldCharType="separate"/>
      </w:r>
      <w:r>
        <w:rPr>
          <w:rFonts w:hint="eastAsia" w:ascii="黑体" w:hAnsi="黑体" w:eastAsia="仿宋_GB2312" w:cs="黑体"/>
          <w:sz w:val="28"/>
          <w:szCs w:val="32"/>
        </w:rPr>
        <w:t>一、评价结论</w:t>
      </w:r>
      <w:r>
        <w:rPr>
          <w:rFonts w:eastAsia="仿宋_GB2312"/>
          <w:sz w:val="28"/>
        </w:rPr>
        <w:tab/>
      </w:r>
      <w:r>
        <w:rPr>
          <w:rFonts w:eastAsia="仿宋_GB2312"/>
          <w:sz w:val="28"/>
        </w:rPr>
        <w:fldChar w:fldCharType="begin"/>
      </w:r>
      <w:r>
        <w:rPr>
          <w:rFonts w:eastAsia="仿宋_GB2312"/>
          <w:sz w:val="28"/>
        </w:rPr>
        <w:instrText xml:space="preserve"> PAGEREF _Toc11736 \h </w:instrText>
      </w:r>
      <w:r>
        <w:rPr>
          <w:rFonts w:eastAsia="仿宋_GB2312"/>
          <w:sz w:val="28"/>
        </w:rPr>
        <w:fldChar w:fldCharType="separate"/>
      </w:r>
      <w:r>
        <w:rPr>
          <w:rFonts w:eastAsia="仿宋_GB2312"/>
          <w:sz w:val="28"/>
        </w:rPr>
        <w:t>1</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"_Toc28979" </w:instrText>
      </w:r>
      <w:r>
        <w:fldChar w:fldCharType="separate"/>
      </w:r>
      <w:r>
        <w:rPr>
          <w:rFonts w:hint="eastAsia" w:ascii="楷体_GB2312" w:hAnsi="楷体_GB2312" w:eastAsia="仿宋_GB2312" w:cs="楷体_GB2312"/>
          <w:sz w:val="28"/>
          <w:szCs w:val="32"/>
        </w:rPr>
        <w:t>（一）绩效评价分数和等级</w:t>
      </w:r>
      <w:r>
        <w:rPr>
          <w:rFonts w:eastAsia="仿宋_GB2312"/>
          <w:sz w:val="28"/>
        </w:rPr>
        <w:tab/>
      </w:r>
      <w:r>
        <w:rPr>
          <w:rFonts w:eastAsia="仿宋_GB2312"/>
          <w:sz w:val="28"/>
        </w:rPr>
        <w:fldChar w:fldCharType="begin"/>
      </w:r>
      <w:r>
        <w:rPr>
          <w:rFonts w:eastAsia="仿宋_GB2312"/>
          <w:sz w:val="28"/>
        </w:rPr>
        <w:instrText xml:space="preserve"> PAGEREF _Toc28979 \h </w:instrText>
      </w:r>
      <w:r>
        <w:rPr>
          <w:rFonts w:eastAsia="仿宋_GB2312"/>
          <w:sz w:val="28"/>
        </w:rPr>
        <w:fldChar w:fldCharType="separate"/>
      </w:r>
      <w:r>
        <w:rPr>
          <w:rFonts w:eastAsia="仿宋_GB2312"/>
          <w:sz w:val="28"/>
        </w:rPr>
        <w:t>1</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"_Toc1113" </w:instrText>
      </w:r>
      <w:r>
        <w:fldChar w:fldCharType="separate"/>
      </w:r>
      <w:r>
        <w:rPr>
          <w:rFonts w:hint="eastAsia" w:ascii="楷体_GB2312" w:hAnsi="楷体_GB2312" w:eastAsia="仿宋_GB2312" w:cs="楷体_GB2312"/>
          <w:sz w:val="28"/>
          <w:szCs w:val="32"/>
        </w:rPr>
        <w:t>（二）绩效评价指标情况</w:t>
      </w:r>
      <w:r>
        <w:rPr>
          <w:rFonts w:eastAsia="仿宋_GB2312"/>
          <w:sz w:val="28"/>
        </w:rPr>
        <w:tab/>
      </w:r>
      <w:r>
        <w:rPr>
          <w:rFonts w:eastAsia="仿宋_GB2312"/>
          <w:sz w:val="28"/>
        </w:rPr>
        <w:fldChar w:fldCharType="begin"/>
      </w:r>
      <w:r>
        <w:rPr>
          <w:rFonts w:eastAsia="仿宋_GB2312"/>
          <w:sz w:val="28"/>
        </w:rPr>
        <w:instrText xml:space="preserve"> PAGEREF _Toc1113 \h </w:instrText>
      </w:r>
      <w:r>
        <w:rPr>
          <w:rFonts w:eastAsia="仿宋_GB2312"/>
          <w:sz w:val="28"/>
        </w:rPr>
        <w:fldChar w:fldCharType="separate"/>
      </w:r>
      <w:r>
        <w:rPr>
          <w:rFonts w:eastAsia="仿宋_GB2312"/>
          <w:sz w:val="28"/>
        </w:rPr>
        <w:t>1</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"_Toc30966" </w:instrText>
      </w:r>
      <w:r>
        <w:fldChar w:fldCharType="separate"/>
      </w:r>
      <w:r>
        <w:rPr>
          <w:rFonts w:hint="eastAsia" w:ascii="楷体_GB2312" w:hAnsi="楷体_GB2312" w:eastAsia="仿宋_GB2312" w:cs="楷体_GB2312"/>
          <w:sz w:val="28"/>
          <w:szCs w:val="32"/>
        </w:rPr>
        <w:t>（三）主要成效、存在的突出问题和原因</w:t>
      </w:r>
      <w:r>
        <w:rPr>
          <w:rFonts w:eastAsia="仿宋_GB2312"/>
          <w:sz w:val="28"/>
        </w:rPr>
        <w:tab/>
      </w:r>
      <w:r>
        <w:rPr>
          <w:rFonts w:eastAsia="仿宋_GB2312"/>
          <w:sz w:val="28"/>
        </w:rPr>
        <w:fldChar w:fldCharType="begin"/>
      </w:r>
      <w:r>
        <w:rPr>
          <w:rFonts w:eastAsia="仿宋_GB2312"/>
          <w:sz w:val="28"/>
        </w:rPr>
        <w:instrText xml:space="preserve"> PAGEREF _Toc30966 \h </w:instrText>
      </w:r>
      <w:r>
        <w:rPr>
          <w:rFonts w:eastAsia="仿宋_GB2312"/>
          <w:sz w:val="28"/>
        </w:rPr>
        <w:fldChar w:fldCharType="separate"/>
      </w:r>
      <w:r>
        <w:rPr>
          <w:rFonts w:eastAsia="仿宋_GB2312"/>
          <w:sz w:val="28"/>
        </w:rPr>
        <w:t>3</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"_Toc32737" </w:instrText>
      </w:r>
      <w:r>
        <w:fldChar w:fldCharType="separate"/>
      </w:r>
      <w:r>
        <w:rPr>
          <w:rFonts w:hint="eastAsia" w:ascii="楷体_GB2312" w:hAnsi="楷体_GB2312" w:eastAsia="仿宋_GB2312" w:cs="楷体_GB2312"/>
          <w:sz w:val="28"/>
          <w:szCs w:val="32"/>
        </w:rPr>
        <w:t>（四）下一步拟改进措施</w:t>
      </w:r>
      <w:r>
        <w:rPr>
          <w:rFonts w:eastAsia="仿宋_GB2312"/>
          <w:sz w:val="28"/>
        </w:rPr>
        <w:tab/>
      </w:r>
      <w:r>
        <w:rPr>
          <w:rFonts w:eastAsia="仿宋_GB2312"/>
          <w:sz w:val="28"/>
        </w:rPr>
        <w:fldChar w:fldCharType="begin"/>
      </w:r>
      <w:r>
        <w:rPr>
          <w:rFonts w:eastAsia="仿宋_GB2312"/>
          <w:sz w:val="28"/>
        </w:rPr>
        <w:instrText xml:space="preserve"> PAGEREF _Toc32737 \h </w:instrText>
      </w:r>
      <w:r>
        <w:rPr>
          <w:rFonts w:eastAsia="仿宋_GB2312"/>
          <w:sz w:val="28"/>
        </w:rPr>
        <w:fldChar w:fldCharType="separate"/>
      </w:r>
      <w:r>
        <w:rPr>
          <w:rFonts w:eastAsia="仿宋_GB2312"/>
          <w:sz w:val="28"/>
        </w:rPr>
        <w:t>6</w:t>
      </w:r>
      <w:r>
        <w:rPr>
          <w:rFonts w:eastAsia="仿宋_GB2312"/>
          <w:sz w:val="28"/>
        </w:rPr>
        <w:fldChar w:fldCharType="end"/>
      </w:r>
      <w:r>
        <w:rPr>
          <w:rFonts w:eastAsia="仿宋_GB2312"/>
          <w:sz w:val="28"/>
        </w:rPr>
        <w:fldChar w:fldCharType="end"/>
      </w:r>
    </w:p>
    <w:p>
      <w:pPr>
        <w:pStyle w:val="8"/>
        <w:tabs>
          <w:tab w:val="right" w:leader="dot" w:pos="8306"/>
        </w:tabs>
        <w:rPr>
          <w:rFonts w:eastAsia="仿宋_GB2312"/>
          <w:sz w:val="28"/>
        </w:rPr>
      </w:pPr>
      <w:r>
        <w:fldChar w:fldCharType="begin"/>
      </w:r>
      <w:r>
        <w:instrText xml:space="preserve"> HYPERLINK \l "_Toc12295" </w:instrText>
      </w:r>
      <w:r>
        <w:fldChar w:fldCharType="separate"/>
      </w:r>
      <w:r>
        <w:rPr>
          <w:rFonts w:hint="eastAsia" w:ascii="黑体" w:hAnsi="黑体" w:eastAsia="仿宋_GB2312" w:cs="黑体"/>
          <w:sz w:val="28"/>
          <w:szCs w:val="32"/>
        </w:rPr>
        <w:t>二、佐证材料</w:t>
      </w:r>
      <w:r>
        <w:rPr>
          <w:rFonts w:eastAsia="仿宋_GB2312"/>
          <w:sz w:val="28"/>
        </w:rPr>
        <w:tab/>
      </w:r>
      <w:r>
        <w:rPr>
          <w:rFonts w:eastAsia="仿宋_GB2312"/>
          <w:sz w:val="28"/>
        </w:rPr>
        <w:fldChar w:fldCharType="begin"/>
      </w:r>
      <w:r>
        <w:rPr>
          <w:rFonts w:eastAsia="仿宋_GB2312"/>
          <w:sz w:val="28"/>
        </w:rPr>
        <w:instrText xml:space="preserve"> PAGEREF _Toc12295 \h </w:instrText>
      </w:r>
      <w:r>
        <w:rPr>
          <w:rFonts w:eastAsia="仿宋_GB2312"/>
          <w:sz w:val="28"/>
        </w:rPr>
        <w:fldChar w:fldCharType="separate"/>
      </w:r>
      <w:r>
        <w:rPr>
          <w:rFonts w:eastAsia="仿宋_GB2312"/>
          <w:sz w:val="28"/>
        </w:rPr>
        <w:t>22</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"_Toc14161" </w:instrText>
      </w:r>
      <w:r>
        <w:fldChar w:fldCharType="separate"/>
      </w:r>
      <w:r>
        <w:rPr>
          <w:rFonts w:hint="eastAsia" w:ascii="楷体_GB2312" w:hAnsi="楷体_GB2312" w:eastAsia="仿宋_GB2312" w:cs="楷体_GB2312"/>
          <w:sz w:val="28"/>
          <w:szCs w:val="32"/>
        </w:rPr>
        <w:t>（一）基本情况</w:t>
      </w:r>
      <w:r>
        <w:rPr>
          <w:rFonts w:eastAsia="仿宋_GB2312"/>
          <w:sz w:val="28"/>
        </w:rPr>
        <w:tab/>
      </w:r>
      <w:r>
        <w:rPr>
          <w:rFonts w:eastAsia="仿宋_GB2312"/>
          <w:sz w:val="28"/>
        </w:rPr>
        <w:fldChar w:fldCharType="begin"/>
      </w:r>
      <w:r>
        <w:rPr>
          <w:rFonts w:eastAsia="仿宋_GB2312"/>
          <w:sz w:val="28"/>
        </w:rPr>
        <w:instrText xml:space="preserve"> PAGEREF _Toc14161 \h </w:instrText>
      </w:r>
      <w:r>
        <w:rPr>
          <w:rFonts w:eastAsia="仿宋_GB2312"/>
          <w:sz w:val="28"/>
        </w:rPr>
        <w:fldChar w:fldCharType="separate"/>
      </w:r>
      <w:r>
        <w:rPr>
          <w:rFonts w:eastAsia="仿宋_GB2312"/>
          <w:sz w:val="28"/>
        </w:rPr>
        <w:t>22</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"_Toc26354" </w:instrText>
      </w:r>
      <w:r>
        <w:fldChar w:fldCharType="separate"/>
      </w:r>
      <w:r>
        <w:rPr>
          <w:rFonts w:hint="eastAsia" w:ascii="仿宋_GB2312" w:hAnsi="Times New Roman" w:eastAsia="仿宋_GB2312"/>
          <w:sz w:val="28"/>
          <w:szCs w:val="32"/>
        </w:rPr>
        <w:t>1.</w:t>
      </w:r>
      <w:r>
        <w:rPr>
          <w:rFonts w:hint="eastAsia" w:ascii="仿宋_GB2312" w:hAnsi="仿宋" w:eastAsia="仿宋_GB2312"/>
          <w:sz w:val="28"/>
          <w:szCs w:val="32"/>
        </w:rPr>
        <w:t>部门整体预算安排情况</w:t>
      </w:r>
      <w:r>
        <w:rPr>
          <w:rFonts w:eastAsia="仿宋_GB2312"/>
          <w:sz w:val="28"/>
        </w:rPr>
        <w:tab/>
      </w:r>
      <w:r>
        <w:rPr>
          <w:rFonts w:eastAsia="仿宋_GB2312"/>
          <w:sz w:val="28"/>
        </w:rPr>
        <w:fldChar w:fldCharType="begin"/>
      </w:r>
      <w:r>
        <w:rPr>
          <w:rFonts w:eastAsia="仿宋_GB2312"/>
          <w:sz w:val="28"/>
        </w:rPr>
        <w:instrText xml:space="preserve"> PAGEREF _Toc26354 \h </w:instrText>
      </w:r>
      <w:r>
        <w:rPr>
          <w:rFonts w:eastAsia="仿宋_GB2312"/>
          <w:sz w:val="28"/>
        </w:rPr>
        <w:fldChar w:fldCharType="separate"/>
      </w:r>
      <w:r>
        <w:rPr>
          <w:rFonts w:eastAsia="仿宋_GB2312"/>
          <w:sz w:val="28"/>
        </w:rPr>
        <w:t>22</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"_Toc8581" </w:instrText>
      </w:r>
      <w:r>
        <w:fldChar w:fldCharType="separate"/>
      </w:r>
      <w:r>
        <w:rPr>
          <w:rFonts w:hint="eastAsia" w:ascii="仿宋_GB2312" w:hAnsi="仿宋" w:eastAsia="仿宋_GB2312"/>
          <w:sz w:val="28"/>
          <w:szCs w:val="32"/>
        </w:rPr>
        <w:t>2.部门整体决算支出情况</w:t>
      </w:r>
      <w:r>
        <w:rPr>
          <w:rFonts w:eastAsia="仿宋_GB2312"/>
          <w:sz w:val="28"/>
        </w:rPr>
        <w:tab/>
      </w:r>
      <w:r>
        <w:rPr>
          <w:rFonts w:eastAsia="仿宋_GB2312"/>
          <w:sz w:val="28"/>
        </w:rPr>
        <w:fldChar w:fldCharType="begin"/>
      </w:r>
      <w:r>
        <w:rPr>
          <w:rFonts w:eastAsia="仿宋_GB2312"/>
          <w:sz w:val="28"/>
        </w:rPr>
        <w:instrText xml:space="preserve"> PAGEREF _Toc8581 \h </w:instrText>
      </w:r>
      <w:r>
        <w:rPr>
          <w:rFonts w:eastAsia="仿宋_GB2312"/>
          <w:sz w:val="28"/>
        </w:rPr>
        <w:fldChar w:fldCharType="separate"/>
      </w:r>
      <w:r>
        <w:rPr>
          <w:rFonts w:eastAsia="仿宋_GB2312"/>
          <w:sz w:val="28"/>
        </w:rPr>
        <w:t>22</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"_Toc1945" </w:instrText>
      </w:r>
      <w:r>
        <w:fldChar w:fldCharType="separate"/>
      </w:r>
      <w:r>
        <w:rPr>
          <w:rFonts w:hint="eastAsia" w:ascii="仿宋_GB2312" w:hAnsi="Times New Roman" w:eastAsia="仿宋_GB2312"/>
          <w:sz w:val="28"/>
          <w:szCs w:val="32"/>
        </w:rPr>
        <w:t>3.县委县政府布置的重点工作</w:t>
      </w:r>
      <w:r>
        <w:rPr>
          <w:rFonts w:eastAsia="仿宋_GB2312"/>
          <w:sz w:val="28"/>
        </w:rPr>
        <w:tab/>
      </w:r>
      <w:r>
        <w:rPr>
          <w:rFonts w:eastAsia="仿宋_GB2312"/>
          <w:sz w:val="28"/>
        </w:rPr>
        <w:fldChar w:fldCharType="begin"/>
      </w:r>
      <w:r>
        <w:rPr>
          <w:rFonts w:eastAsia="仿宋_GB2312"/>
          <w:sz w:val="28"/>
        </w:rPr>
        <w:instrText xml:space="preserve"> PAGEREF _Toc1945 \h </w:instrText>
      </w:r>
      <w:r>
        <w:rPr>
          <w:rFonts w:eastAsia="仿宋_GB2312"/>
          <w:sz w:val="28"/>
        </w:rPr>
        <w:fldChar w:fldCharType="separate"/>
      </w:r>
      <w:r>
        <w:rPr>
          <w:rFonts w:eastAsia="仿宋_GB2312"/>
          <w:sz w:val="28"/>
        </w:rPr>
        <w:t>22</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"_Toc32105" </w:instrText>
      </w:r>
      <w:r>
        <w:fldChar w:fldCharType="separate"/>
      </w:r>
      <w:r>
        <w:rPr>
          <w:rFonts w:hint="eastAsia" w:ascii="仿宋_GB2312" w:hAnsi="Times New Roman" w:eastAsia="仿宋_GB2312"/>
          <w:sz w:val="28"/>
          <w:szCs w:val="32"/>
        </w:rPr>
        <w:t>4.2022年石南镇整体绩效目标</w:t>
      </w:r>
      <w:r>
        <w:rPr>
          <w:rFonts w:eastAsia="仿宋_GB2312"/>
          <w:sz w:val="28"/>
        </w:rPr>
        <w:tab/>
      </w:r>
      <w:r>
        <w:rPr>
          <w:rFonts w:eastAsia="仿宋_GB2312"/>
          <w:sz w:val="28"/>
        </w:rPr>
        <w:fldChar w:fldCharType="begin"/>
      </w:r>
      <w:r>
        <w:rPr>
          <w:rFonts w:eastAsia="仿宋_GB2312"/>
          <w:sz w:val="28"/>
        </w:rPr>
        <w:instrText xml:space="preserve"> PAGEREF _Toc32105 \h </w:instrText>
      </w:r>
      <w:r>
        <w:rPr>
          <w:rFonts w:eastAsia="仿宋_GB2312"/>
          <w:sz w:val="28"/>
        </w:rPr>
        <w:fldChar w:fldCharType="separate"/>
      </w:r>
      <w:r>
        <w:rPr>
          <w:rFonts w:eastAsia="仿宋_GB2312"/>
          <w:sz w:val="28"/>
        </w:rPr>
        <w:t>22</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"_Toc10114" </w:instrText>
      </w:r>
      <w:r>
        <w:fldChar w:fldCharType="separate"/>
      </w:r>
      <w:r>
        <w:rPr>
          <w:rFonts w:hint="eastAsia" w:ascii="楷体_GB2312" w:hAnsi="楷体_GB2312" w:eastAsia="仿宋_GB2312" w:cs="楷体_GB2312"/>
          <w:sz w:val="28"/>
          <w:szCs w:val="32"/>
        </w:rPr>
        <w:t>（二）绩效评价工作开展情况</w:t>
      </w:r>
      <w:r>
        <w:rPr>
          <w:rFonts w:eastAsia="仿宋_GB2312"/>
          <w:sz w:val="28"/>
        </w:rPr>
        <w:tab/>
      </w:r>
      <w:r>
        <w:rPr>
          <w:rFonts w:eastAsia="仿宋_GB2312"/>
          <w:sz w:val="28"/>
        </w:rPr>
        <w:fldChar w:fldCharType="begin"/>
      </w:r>
      <w:r>
        <w:rPr>
          <w:rFonts w:eastAsia="仿宋_GB2312"/>
          <w:sz w:val="28"/>
        </w:rPr>
        <w:instrText xml:space="preserve"> PAGEREF _Toc10114 \h </w:instrText>
      </w:r>
      <w:r>
        <w:rPr>
          <w:rFonts w:eastAsia="仿宋_GB2312"/>
          <w:sz w:val="28"/>
        </w:rPr>
        <w:fldChar w:fldCharType="separate"/>
      </w:r>
      <w:r>
        <w:rPr>
          <w:rFonts w:eastAsia="仿宋_GB2312"/>
          <w:sz w:val="28"/>
        </w:rPr>
        <w:t>23</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"_Toc15246" </w:instrText>
      </w:r>
      <w:r>
        <w:fldChar w:fldCharType="separate"/>
      </w:r>
      <w:r>
        <w:rPr>
          <w:rFonts w:hint="eastAsia" w:ascii="仿宋_GB2312" w:hAnsi="Times New Roman" w:eastAsia="仿宋_GB2312"/>
          <w:sz w:val="28"/>
          <w:szCs w:val="32"/>
        </w:rPr>
        <w:t>1.评价目的</w:t>
      </w:r>
      <w:r>
        <w:rPr>
          <w:rFonts w:eastAsia="仿宋_GB2312"/>
          <w:sz w:val="28"/>
        </w:rPr>
        <w:tab/>
      </w:r>
      <w:r>
        <w:rPr>
          <w:rFonts w:eastAsia="仿宋_GB2312"/>
          <w:sz w:val="28"/>
        </w:rPr>
        <w:fldChar w:fldCharType="begin"/>
      </w:r>
      <w:r>
        <w:rPr>
          <w:rFonts w:eastAsia="仿宋_GB2312"/>
          <w:sz w:val="28"/>
        </w:rPr>
        <w:instrText xml:space="preserve"> PAGEREF _Toc15246 \h </w:instrText>
      </w:r>
      <w:r>
        <w:rPr>
          <w:rFonts w:eastAsia="仿宋_GB2312"/>
          <w:sz w:val="28"/>
        </w:rPr>
        <w:fldChar w:fldCharType="separate"/>
      </w:r>
      <w:r>
        <w:rPr>
          <w:rFonts w:eastAsia="仿宋_GB2312"/>
          <w:sz w:val="28"/>
        </w:rPr>
        <w:t>23</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"_Toc27029" </w:instrText>
      </w:r>
      <w:r>
        <w:fldChar w:fldCharType="separate"/>
      </w:r>
      <w:r>
        <w:rPr>
          <w:rFonts w:hint="eastAsia" w:ascii="仿宋_GB2312" w:hAnsi="仿宋_GB2312" w:eastAsia="仿宋_GB2312" w:cs="仿宋_GB2312"/>
          <w:bCs/>
          <w:sz w:val="28"/>
          <w:szCs w:val="32"/>
        </w:rPr>
        <w:t>2.评价对象及范围</w:t>
      </w:r>
      <w:r>
        <w:rPr>
          <w:rFonts w:eastAsia="仿宋_GB2312"/>
          <w:sz w:val="28"/>
        </w:rPr>
        <w:tab/>
      </w:r>
      <w:r>
        <w:rPr>
          <w:rFonts w:eastAsia="仿宋_GB2312"/>
          <w:sz w:val="28"/>
        </w:rPr>
        <w:fldChar w:fldCharType="begin"/>
      </w:r>
      <w:r>
        <w:rPr>
          <w:rFonts w:eastAsia="仿宋_GB2312"/>
          <w:sz w:val="28"/>
        </w:rPr>
        <w:instrText xml:space="preserve"> PAGEREF _Toc27029 \h </w:instrText>
      </w:r>
      <w:r>
        <w:rPr>
          <w:rFonts w:eastAsia="仿宋_GB2312"/>
          <w:sz w:val="28"/>
        </w:rPr>
        <w:fldChar w:fldCharType="separate"/>
      </w:r>
      <w:r>
        <w:rPr>
          <w:rFonts w:eastAsia="仿宋_GB2312"/>
          <w:sz w:val="28"/>
        </w:rPr>
        <w:t>23</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"_Toc32107" </w:instrText>
      </w:r>
      <w:r>
        <w:fldChar w:fldCharType="separate"/>
      </w:r>
      <w:r>
        <w:rPr>
          <w:rFonts w:hint="eastAsia" w:ascii="仿宋_GB2312" w:hAnsi="仿宋" w:eastAsia="仿宋_GB2312"/>
          <w:bCs/>
          <w:sz w:val="28"/>
          <w:szCs w:val="32"/>
        </w:rPr>
        <w:t>3.评价内容</w:t>
      </w:r>
      <w:r>
        <w:rPr>
          <w:rFonts w:eastAsia="仿宋_GB2312"/>
          <w:sz w:val="28"/>
        </w:rPr>
        <w:tab/>
      </w:r>
      <w:r>
        <w:rPr>
          <w:rFonts w:eastAsia="仿宋_GB2312"/>
          <w:sz w:val="28"/>
        </w:rPr>
        <w:fldChar w:fldCharType="begin"/>
      </w:r>
      <w:r>
        <w:rPr>
          <w:rFonts w:eastAsia="仿宋_GB2312"/>
          <w:sz w:val="28"/>
        </w:rPr>
        <w:instrText xml:space="preserve"> PAGEREF _Toc32107 \h </w:instrText>
      </w:r>
      <w:r>
        <w:rPr>
          <w:rFonts w:eastAsia="仿宋_GB2312"/>
          <w:sz w:val="28"/>
        </w:rPr>
        <w:fldChar w:fldCharType="separate"/>
      </w:r>
      <w:r>
        <w:rPr>
          <w:rFonts w:eastAsia="仿宋_GB2312"/>
          <w:sz w:val="28"/>
        </w:rPr>
        <w:t>23</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"_Toc4823" </w:instrText>
      </w:r>
      <w:r>
        <w:fldChar w:fldCharType="separate"/>
      </w:r>
      <w:r>
        <w:rPr>
          <w:rFonts w:hint="eastAsia" w:ascii="仿宋_GB2312" w:hAnsi="仿宋_GB2312" w:eastAsia="仿宋_GB2312" w:cs="仿宋_GB2312"/>
          <w:bCs/>
          <w:sz w:val="28"/>
          <w:szCs w:val="32"/>
        </w:rPr>
        <w:t>4.评价工作组织</w:t>
      </w:r>
      <w:r>
        <w:rPr>
          <w:rFonts w:eastAsia="仿宋_GB2312"/>
          <w:sz w:val="28"/>
        </w:rPr>
        <w:tab/>
      </w:r>
      <w:r>
        <w:rPr>
          <w:rFonts w:eastAsia="仿宋_GB2312"/>
          <w:sz w:val="28"/>
        </w:rPr>
        <w:fldChar w:fldCharType="begin"/>
      </w:r>
      <w:r>
        <w:rPr>
          <w:rFonts w:eastAsia="仿宋_GB2312"/>
          <w:sz w:val="28"/>
        </w:rPr>
        <w:instrText xml:space="preserve"> PAGEREF _Toc4823 \h </w:instrText>
      </w:r>
      <w:r>
        <w:rPr>
          <w:rFonts w:eastAsia="仿宋_GB2312"/>
          <w:sz w:val="28"/>
        </w:rPr>
        <w:fldChar w:fldCharType="separate"/>
      </w:r>
      <w:r>
        <w:rPr>
          <w:rFonts w:eastAsia="仿宋_GB2312"/>
          <w:sz w:val="28"/>
        </w:rPr>
        <w:t>24</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"_Toc8119" </w:instrText>
      </w:r>
      <w:r>
        <w:fldChar w:fldCharType="separate"/>
      </w:r>
      <w:r>
        <w:rPr>
          <w:rFonts w:hint="eastAsia" w:ascii="仿宋_GB2312" w:hAnsi="仿宋_GB2312" w:eastAsia="仿宋_GB2312" w:cs="仿宋_GB2312"/>
          <w:bCs/>
          <w:sz w:val="28"/>
          <w:szCs w:val="32"/>
        </w:rPr>
        <w:t>5.绩效评价框架</w:t>
      </w:r>
      <w:r>
        <w:rPr>
          <w:rFonts w:eastAsia="仿宋_GB2312"/>
          <w:sz w:val="28"/>
        </w:rPr>
        <w:tab/>
      </w:r>
      <w:r>
        <w:rPr>
          <w:rFonts w:eastAsia="仿宋_GB2312"/>
          <w:sz w:val="28"/>
        </w:rPr>
        <w:fldChar w:fldCharType="begin"/>
      </w:r>
      <w:r>
        <w:rPr>
          <w:rFonts w:eastAsia="仿宋_GB2312"/>
          <w:sz w:val="28"/>
        </w:rPr>
        <w:instrText xml:space="preserve"> PAGEREF _Toc8119 \h </w:instrText>
      </w:r>
      <w:r>
        <w:rPr>
          <w:rFonts w:eastAsia="仿宋_GB2312"/>
          <w:sz w:val="28"/>
        </w:rPr>
        <w:fldChar w:fldCharType="separate"/>
      </w:r>
      <w:r>
        <w:rPr>
          <w:rFonts w:eastAsia="仿宋_GB2312"/>
          <w:sz w:val="28"/>
        </w:rPr>
        <w:t>25</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"_Toc4576" </w:instrText>
      </w:r>
      <w:r>
        <w:fldChar w:fldCharType="separate"/>
      </w:r>
      <w:r>
        <w:rPr>
          <w:rFonts w:hint="eastAsia" w:ascii="仿宋_GB2312" w:hAnsi="仿宋" w:eastAsia="仿宋_GB2312" w:cs="楷体"/>
          <w:sz w:val="28"/>
          <w:szCs w:val="32"/>
        </w:rPr>
        <w:t>6</w:t>
      </w:r>
      <w:r>
        <w:rPr>
          <w:rFonts w:ascii="仿宋_GB2312" w:hAnsi="仿宋" w:eastAsia="仿宋_GB2312" w:cs="楷体"/>
          <w:sz w:val="28"/>
          <w:szCs w:val="32"/>
        </w:rPr>
        <w:t>.</w:t>
      </w:r>
      <w:r>
        <w:rPr>
          <w:rFonts w:hint="eastAsia" w:ascii="仿宋_GB2312" w:hAnsi="仿宋" w:eastAsia="仿宋_GB2312" w:cs="楷体"/>
          <w:sz w:val="28"/>
          <w:szCs w:val="32"/>
        </w:rPr>
        <w:t>证据收集方法</w:t>
      </w:r>
      <w:r>
        <w:rPr>
          <w:rFonts w:eastAsia="仿宋_GB2312"/>
          <w:sz w:val="28"/>
        </w:rPr>
        <w:tab/>
      </w:r>
      <w:r>
        <w:rPr>
          <w:rFonts w:eastAsia="仿宋_GB2312"/>
          <w:sz w:val="28"/>
        </w:rPr>
        <w:fldChar w:fldCharType="begin"/>
      </w:r>
      <w:r>
        <w:rPr>
          <w:rFonts w:eastAsia="仿宋_GB2312"/>
          <w:sz w:val="28"/>
        </w:rPr>
        <w:instrText xml:space="preserve"> PAGEREF _Toc4576 \h </w:instrText>
      </w:r>
      <w:r>
        <w:rPr>
          <w:rFonts w:eastAsia="仿宋_GB2312"/>
          <w:sz w:val="28"/>
        </w:rPr>
        <w:fldChar w:fldCharType="separate"/>
      </w:r>
      <w:r>
        <w:rPr>
          <w:rFonts w:eastAsia="仿宋_GB2312"/>
          <w:sz w:val="28"/>
        </w:rPr>
        <w:t>28</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"_Toc12410" </w:instrText>
      </w:r>
      <w:r>
        <w:fldChar w:fldCharType="separate"/>
      </w:r>
      <w:r>
        <w:rPr>
          <w:rFonts w:hint="eastAsia" w:ascii="楷体_GB2312" w:hAnsi="楷体_GB2312" w:eastAsia="仿宋_GB2312" w:cs="楷体_GB2312"/>
          <w:sz w:val="28"/>
          <w:szCs w:val="32"/>
        </w:rPr>
        <w:t>（三）绩效评价指标完成情况分析</w:t>
      </w:r>
      <w:r>
        <w:rPr>
          <w:rFonts w:eastAsia="仿宋_GB2312"/>
          <w:sz w:val="28"/>
        </w:rPr>
        <w:tab/>
      </w:r>
      <w:r>
        <w:rPr>
          <w:rFonts w:hint="eastAsia" w:eastAsia="仿宋_GB2312"/>
          <w:sz w:val="28"/>
        </w:rPr>
        <w:t>29</w:t>
      </w:r>
      <w:r>
        <w:rPr>
          <w:rFonts w:hint="eastAsia" w:eastAsia="仿宋_GB2312"/>
          <w:sz w:val="28"/>
        </w:rPr>
        <w:fldChar w:fldCharType="end"/>
      </w:r>
    </w:p>
    <w:p>
      <w:pPr>
        <w:pStyle w:val="5"/>
        <w:tabs>
          <w:tab w:val="right" w:leader="dot" w:pos="8306"/>
        </w:tabs>
        <w:rPr>
          <w:rFonts w:eastAsia="仿宋_GB2312"/>
          <w:sz w:val="28"/>
        </w:rPr>
      </w:pPr>
      <w:r>
        <w:fldChar w:fldCharType="begin"/>
      </w:r>
      <w:r>
        <w:instrText xml:space="preserve"> HYPERLINK \l "_Toc30495" </w:instrText>
      </w:r>
      <w:r>
        <w:fldChar w:fldCharType="separate"/>
      </w:r>
      <w:r>
        <w:rPr>
          <w:rFonts w:ascii="仿宋_GB2312" w:hAnsi="Times New Roman" w:eastAsia="仿宋_GB2312"/>
          <w:sz w:val="28"/>
          <w:szCs w:val="32"/>
        </w:rPr>
        <w:t>1.</w:t>
      </w:r>
      <w:r>
        <w:rPr>
          <w:rFonts w:hint="eastAsia" w:ascii="仿宋_GB2312" w:hAnsi="Times New Roman" w:eastAsia="仿宋_GB2312"/>
          <w:sz w:val="28"/>
          <w:szCs w:val="32"/>
        </w:rPr>
        <w:t>运行成本指标完成情况详细分析</w:t>
      </w:r>
      <w:r>
        <w:rPr>
          <w:rFonts w:eastAsia="仿宋_GB2312"/>
          <w:sz w:val="28"/>
        </w:rPr>
        <w:tab/>
      </w:r>
      <w:r>
        <w:rPr>
          <w:rFonts w:hint="eastAsia" w:eastAsia="仿宋_GB2312"/>
          <w:sz w:val="28"/>
        </w:rPr>
        <w:t>29</w:t>
      </w:r>
      <w:r>
        <w:rPr>
          <w:rFonts w:hint="eastAsia" w:eastAsia="仿宋_GB2312"/>
          <w:sz w:val="28"/>
        </w:rPr>
        <w:fldChar w:fldCharType="end"/>
      </w:r>
    </w:p>
    <w:p>
      <w:pPr>
        <w:pStyle w:val="5"/>
        <w:tabs>
          <w:tab w:val="right" w:leader="dot" w:pos="8306"/>
        </w:tabs>
        <w:rPr>
          <w:rFonts w:eastAsia="仿宋_GB2312"/>
          <w:sz w:val="28"/>
        </w:rPr>
      </w:pPr>
      <w:r>
        <w:fldChar w:fldCharType="begin"/>
      </w:r>
      <w:r>
        <w:instrText xml:space="preserve"> HYPERLINK \l "_Toc30409" </w:instrText>
      </w:r>
      <w:r>
        <w:fldChar w:fldCharType="separate"/>
      </w:r>
      <w:r>
        <w:rPr>
          <w:rFonts w:ascii="仿宋_GB2312" w:hAnsi="Times New Roman" w:eastAsia="仿宋_GB2312"/>
          <w:sz w:val="28"/>
          <w:szCs w:val="32"/>
        </w:rPr>
        <w:t>2.</w:t>
      </w:r>
      <w:r>
        <w:rPr>
          <w:rFonts w:hint="eastAsia" w:ascii="仿宋_GB2312" w:hAnsi="Times New Roman" w:eastAsia="仿宋_GB2312"/>
          <w:sz w:val="28"/>
          <w:szCs w:val="32"/>
        </w:rPr>
        <w:t>管理效率指标完成情况详细分析</w:t>
      </w:r>
      <w:r>
        <w:rPr>
          <w:rFonts w:eastAsia="仿宋_GB2312"/>
          <w:sz w:val="28"/>
        </w:rPr>
        <w:tab/>
      </w:r>
      <w:r>
        <w:rPr>
          <w:rFonts w:hint="eastAsia" w:eastAsia="仿宋_GB2312"/>
          <w:sz w:val="28"/>
        </w:rPr>
        <w:t>31</w:t>
      </w:r>
      <w:r>
        <w:rPr>
          <w:rFonts w:hint="eastAsia" w:eastAsia="仿宋_GB2312"/>
          <w:sz w:val="28"/>
        </w:rPr>
        <w:fldChar w:fldCharType="end"/>
      </w:r>
    </w:p>
    <w:p>
      <w:pPr>
        <w:pStyle w:val="5"/>
        <w:tabs>
          <w:tab w:val="right" w:leader="dot" w:pos="8306"/>
        </w:tabs>
        <w:rPr>
          <w:rFonts w:eastAsia="仿宋_GB2312"/>
          <w:sz w:val="28"/>
        </w:rPr>
      </w:pPr>
      <w:r>
        <w:fldChar w:fldCharType="begin"/>
      </w:r>
      <w:r>
        <w:instrText xml:space="preserve"> HYPERLINK \l "_Toc3115" </w:instrText>
      </w:r>
      <w:r>
        <w:fldChar w:fldCharType="separate"/>
      </w:r>
      <w:r>
        <w:rPr>
          <w:rFonts w:ascii="仿宋_GB2312" w:hAnsi="Times New Roman" w:eastAsia="仿宋_GB2312"/>
          <w:sz w:val="28"/>
          <w:szCs w:val="32"/>
        </w:rPr>
        <w:t>3.</w:t>
      </w:r>
      <w:r>
        <w:rPr>
          <w:rFonts w:hint="eastAsia" w:ascii="仿宋_GB2312" w:hAnsi="Times New Roman" w:eastAsia="仿宋_GB2312"/>
          <w:sz w:val="28"/>
          <w:szCs w:val="32"/>
        </w:rPr>
        <w:t>履职效能指标完成情况详细分析</w:t>
      </w:r>
      <w:r>
        <w:rPr>
          <w:rFonts w:eastAsia="仿宋_GB2312"/>
          <w:sz w:val="28"/>
        </w:rPr>
        <w:tab/>
      </w:r>
      <w:r>
        <w:rPr>
          <w:rFonts w:hint="eastAsia" w:eastAsia="仿宋_GB2312"/>
          <w:sz w:val="28"/>
        </w:rPr>
        <w:t>39</w:t>
      </w:r>
      <w:r>
        <w:rPr>
          <w:rFonts w:hint="eastAsia" w:eastAsia="仿宋_GB2312"/>
          <w:sz w:val="28"/>
        </w:rPr>
        <w:fldChar w:fldCharType="end"/>
      </w:r>
    </w:p>
    <w:p>
      <w:pPr>
        <w:pStyle w:val="5"/>
        <w:tabs>
          <w:tab w:val="right" w:leader="dot" w:pos="8306"/>
        </w:tabs>
        <w:rPr>
          <w:rFonts w:eastAsia="仿宋_GB2312"/>
          <w:sz w:val="28"/>
        </w:rPr>
      </w:pPr>
      <w:r>
        <w:fldChar w:fldCharType="begin"/>
      </w:r>
      <w:r>
        <w:instrText xml:space="preserve"> HYPERLINK \l "_Toc8528" </w:instrText>
      </w:r>
      <w:r>
        <w:fldChar w:fldCharType="separate"/>
      </w:r>
      <w:r>
        <w:rPr>
          <w:rFonts w:ascii="仿宋_GB2312" w:hAnsi="Times New Roman" w:eastAsia="仿宋_GB2312"/>
          <w:sz w:val="28"/>
          <w:szCs w:val="32"/>
        </w:rPr>
        <w:t>4.</w:t>
      </w:r>
      <w:r>
        <w:rPr>
          <w:rFonts w:hint="eastAsia" w:ascii="仿宋_GB2312" w:hAnsi="Times New Roman" w:eastAsia="仿宋_GB2312"/>
          <w:sz w:val="28"/>
          <w:szCs w:val="32"/>
        </w:rPr>
        <w:t>社会效应指标完成情况详细分析</w:t>
      </w:r>
      <w:r>
        <w:rPr>
          <w:rFonts w:eastAsia="仿宋_GB2312"/>
          <w:sz w:val="28"/>
        </w:rPr>
        <w:tab/>
      </w:r>
      <w:r>
        <w:rPr>
          <w:rFonts w:eastAsia="仿宋_GB2312"/>
          <w:sz w:val="28"/>
        </w:rPr>
        <w:fldChar w:fldCharType="begin"/>
      </w:r>
      <w:r>
        <w:rPr>
          <w:rFonts w:eastAsia="仿宋_GB2312"/>
          <w:sz w:val="28"/>
        </w:rPr>
        <w:instrText xml:space="preserve"> PAGEREF _Toc8528 \h </w:instrText>
      </w:r>
      <w:r>
        <w:rPr>
          <w:rFonts w:eastAsia="仿宋_GB2312"/>
          <w:sz w:val="28"/>
        </w:rPr>
        <w:fldChar w:fldCharType="separate"/>
      </w:r>
      <w:r>
        <w:rPr>
          <w:rFonts w:eastAsia="仿宋_GB2312"/>
          <w:sz w:val="28"/>
        </w:rPr>
        <w:t>43</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"_Toc27316" </w:instrText>
      </w:r>
      <w:r>
        <w:fldChar w:fldCharType="separate"/>
      </w:r>
      <w:r>
        <w:rPr>
          <w:rFonts w:ascii="仿宋_GB2312" w:hAnsi="Times New Roman" w:eastAsia="仿宋_GB2312"/>
          <w:sz w:val="28"/>
          <w:szCs w:val="32"/>
        </w:rPr>
        <w:t>5.</w:t>
      </w:r>
      <w:r>
        <w:rPr>
          <w:rFonts w:hint="eastAsia" w:ascii="仿宋_GB2312" w:hAnsi="Times New Roman" w:eastAsia="仿宋_GB2312"/>
          <w:sz w:val="28"/>
          <w:szCs w:val="32"/>
        </w:rPr>
        <w:t>可持续发展能力指标完成情况详细分析</w:t>
      </w:r>
      <w:r>
        <w:rPr>
          <w:rFonts w:eastAsia="仿宋_GB2312"/>
          <w:sz w:val="28"/>
        </w:rPr>
        <w:tab/>
      </w:r>
      <w:r>
        <w:rPr>
          <w:rFonts w:eastAsia="仿宋_GB2312"/>
          <w:sz w:val="28"/>
        </w:rPr>
        <w:fldChar w:fldCharType="begin"/>
      </w:r>
      <w:r>
        <w:rPr>
          <w:rFonts w:eastAsia="仿宋_GB2312"/>
          <w:sz w:val="28"/>
        </w:rPr>
        <w:instrText xml:space="preserve"> PAGEREF _Toc27316 \h </w:instrText>
      </w:r>
      <w:r>
        <w:rPr>
          <w:rFonts w:eastAsia="仿宋_GB2312"/>
          <w:sz w:val="28"/>
        </w:rPr>
        <w:fldChar w:fldCharType="separate"/>
      </w:r>
      <w:r>
        <w:rPr>
          <w:rFonts w:eastAsia="仿宋_GB2312"/>
          <w:sz w:val="28"/>
        </w:rPr>
        <w:t>46</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"_Toc6661" </w:instrText>
      </w:r>
      <w:r>
        <w:fldChar w:fldCharType="separate"/>
      </w:r>
      <w:r>
        <w:rPr>
          <w:rFonts w:ascii="仿宋_GB2312" w:hAnsi="Times New Roman" w:eastAsia="仿宋_GB2312"/>
          <w:sz w:val="28"/>
          <w:szCs w:val="32"/>
        </w:rPr>
        <w:t>6.</w:t>
      </w:r>
      <w:r>
        <w:rPr>
          <w:rFonts w:hint="eastAsia" w:ascii="仿宋_GB2312" w:hAnsi="Times New Roman" w:eastAsia="仿宋_GB2312"/>
          <w:sz w:val="28"/>
          <w:szCs w:val="32"/>
        </w:rPr>
        <w:t>满意度指标完成情况详细分析</w:t>
      </w:r>
      <w:r>
        <w:rPr>
          <w:rFonts w:eastAsia="仿宋_GB2312"/>
          <w:sz w:val="28"/>
        </w:rPr>
        <w:tab/>
      </w:r>
      <w:r>
        <w:rPr>
          <w:rFonts w:hint="eastAsia" w:eastAsia="仿宋_GB2312"/>
          <w:sz w:val="28"/>
        </w:rPr>
        <w:t>48</w:t>
      </w:r>
      <w:r>
        <w:rPr>
          <w:rFonts w:hint="eastAsia" w:eastAsia="仿宋_GB2312"/>
          <w:sz w:val="28"/>
        </w:rPr>
        <w:fldChar w:fldCharType="end"/>
      </w:r>
    </w:p>
    <w:p>
      <w:pPr>
        <w:pStyle w:val="5"/>
        <w:tabs>
          <w:tab w:val="right" w:leader="dot" w:pos="8306"/>
        </w:tabs>
        <w:rPr>
          <w:sz w:val="28"/>
          <w:szCs w:val="28"/>
        </w:rPr>
      </w:pPr>
      <w:r>
        <w:fldChar w:fldCharType="begin"/>
      </w:r>
      <w:r>
        <w:instrText xml:space="preserve"> HYPERLINK \l "_Toc11120" </w:instrText>
      </w:r>
      <w:r>
        <w:fldChar w:fldCharType="separate"/>
      </w:r>
      <w:r>
        <w:rPr>
          <w:rFonts w:hint="eastAsia" w:ascii="仿宋_GB2312" w:hAnsi="仿宋_GB2312" w:eastAsia="仿宋_GB2312" w:cs="仿宋_GB2312"/>
          <w:bCs/>
          <w:sz w:val="28"/>
          <w:szCs w:val="28"/>
        </w:rPr>
        <w:t>7.评价得分与等级</w:t>
      </w:r>
      <w:r>
        <w:rPr>
          <w:sz w:val="28"/>
          <w:szCs w:val="28"/>
        </w:rPr>
        <w:tab/>
      </w:r>
      <w:r>
        <w:rPr>
          <w:rFonts w:hint="eastAsia"/>
          <w:sz w:val="28"/>
          <w:szCs w:val="28"/>
        </w:rPr>
        <w:t>49</w:t>
      </w:r>
      <w:r>
        <w:rPr>
          <w:rFonts w:hint="eastAsia"/>
          <w:sz w:val="28"/>
          <w:szCs w:val="28"/>
        </w:rPr>
        <w:fldChar w:fldCharType="end"/>
      </w:r>
    </w:p>
    <w:p>
      <w:pPr>
        <w:pStyle w:val="9"/>
        <w:tabs>
          <w:tab w:val="right" w:leader="dot" w:pos="8306"/>
        </w:tabs>
        <w:rPr>
          <w:rFonts w:eastAsia="仿宋_GB2312"/>
          <w:sz w:val="28"/>
        </w:rPr>
      </w:pPr>
      <w:r>
        <w:fldChar w:fldCharType="begin"/>
      </w:r>
      <w:r>
        <w:instrText xml:space="preserve"> HYPERLINK \l "_Toc14281" </w:instrText>
      </w:r>
      <w:r>
        <w:fldChar w:fldCharType="separate"/>
      </w:r>
      <w:r>
        <w:rPr>
          <w:rFonts w:hint="eastAsia" w:ascii="楷体_GB2312" w:hAnsi="楷体_GB2312" w:eastAsia="仿宋_GB2312" w:cs="楷体_GB2312"/>
          <w:sz w:val="28"/>
          <w:szCs w:val="32"/>
        </w:rPr>
        <w:t>（四）存在的其他问题和原因</w:t>
      </w:r>
      <w:r>
        <w:rPr>
          <w:rFonts w:eastAsia="仿宋_GB2312"/>
          <w:sz w:val="28"/>
        </w:rPr>
        <w:tab/>
      </w:r>
      <w:r>
        <w:rPr>
          <w:rFonts w:hint="eastAsia" w:eastAsia="仿宋_GB2312"/>
          <w:sz w:val="28"/>
        </w:rPr>
        <w:t>49</w:t>
      </w:r>
      <w:r>
        <w:rPr>
          <w:rFonts w:hint="eastAsia" w:eastAsia="仿宋_GB2312"/>
          <w:sz w:val="28"/>
        </w:rPr>
        <w:fldChar w:fldCharType="end"/>
      </w:r>
    </w:p>
    <w:p>
      <w:pPr>
        <w:pStyle w:val="9"/>
        <w:tabs>
          <w:tab w:val="right" w:leader="dot" w:pos="8306"/>
        </w:tabs>
        <w:rPr>
          <w:rFonts w:eastAsia="仿宋_GB2312"/>
          <w:sz w:val="28"/>
        </w:rPr>
      </w:pPr>
      <w:r>
        <w:fldChar w:fldCharType="begin"/>
      </w:r>
      <w:r>
        <w:instrText xml:space="preserve"> HYPERLINK \l "_Toc12489" </w:instrText>
      </w:r>
      <w:r>
        <w:fldChar w:fldCharType="separate"/>
      </w:r>
      <w:r>
        <w:rPr>
          <w:rFonts w:hint="eastAsia" w:ascii="楷体_GB2312" w:hAnsi="楷体_GB2312" w:eastAsia="仿宋_GB2312" w:cs="楷体_GB2312"/>
          <w:sz w:val="28"/>
          <w:szCs w:val="32"/>
        </w:rPr>
        <w:t>（五）评价工作与评价报告其他需说明的问题</w:t>
      </w:r>
      <w:r>
        <w:rPr>
          <w:rFonts w:eastAsia="仿宋_GB2312"/>
          <w:sz w:val="28"/>
        </w:rPr>
        <w:tab/>
      </w:r>
      <w:r>
        <w:rPr>
          <w:rFonts w:hint="eastAsia" w:eastAsia="仿宋_GB2312"/>
          <w:sz w:val="28"/>
        </w:rPr>
        <w:t>49</w:t>
      </w:r>
      <w:r>
        <w:rPr>
          <w:rFonts w:hint="eastAsia" w:eastAsia="仿宋_GB2312"/>
          <w:sz w:val="28"/>
        </w:rPr>
        <w:fldChar w:fldCharType="end"/>
      </w:r>
    </w:p>
    <w:p>
      <w:pPr>
        <w:pStyle w:val="9"/>
        <w:tabs>
          <w:tab w:val="right" w:leader="dot" w:pos="8306"/>
        </w:tabs>
      </w:pPr>
      <w:r>
        <w:fldChar w:fldCharType="begin"/>
      </w:r>
      <w:r>
        <w:instrText xml:space="preserve"> HYPERLINK \l "_Toc3731" </w:instrText>
      </w:r>
      <w:r>
        <w:fldChar w:fldCharType="separate"/>
      </w:r>
      <w:r>
        <w:rPr>
          <w:rFonts w:hint="eastAsia" w:ascii="楷体_GB2312" w:hAnsi="楷体_GB2312" w:eastAsia="仿宋_GB2312" w:cs="楷体_GB2312"/>
          <w:sz w:val="28"/>
          <w:szCs w:val="32"/>
        </w:rPr>
        <w:t>（六）其他佐证材料</w:t>
      </w:r>
      <w:r>
        <w:rPr>
          <w:rFonts w:eastAsia="仿宋_GB2312"/>
          <w:sz w:val="28"/>
        </w:rPr>
        <w:tab/>
      </w:r>
      <w:r>
        <w:rPr>
          <w:rFonts w:eastAsia="仿宋_GB2312"/>
          <w:sz w:val="28"/>
        </w:rPr>
        <w:fldChar w:fldCharType="begin"/>
      </w:r>
      <w:r>
        <w:rPr>
          <w:rFonts w:eastAsia="仿宋_GB2312"/>
          <w:sz w:val="28"/>
        </w:rPr>
        <w:instrText xml:space="preserve"> PAGEREF _Toc3731 \h </w:instrText>
      </w:r>
      <w:r>
        <w:rPr>
          <w:rFonts w:eastAsia="仿宋_GB2312"/>
          <w:sz w:val="28"/>
        </w:rPr>
        <w:fldChar w:fldCharType="separate"/>
      </w:r>
      <w:r>
        <w:rPr>
          <w:rFonts w:eastAsia="仿宋_GB2312"/>
          <w:sz w:val="28"/>
        </w:rPr>
        <w:t>50</w:t>
      </w:r>
      <w:r>
        <w:rPr>
          <w:rFonts w:eastAsia="仿宋_GB2312"/>
          <w:sz w:val="28"/>
        </w:rPr>
        <w:fldChar w:fldCharType="end"/>
      </w:r>
      <w:r>
        <w:rPr>
          <w:rFonts w:eastAsia="仿宋_GB2312"/>
          <w:sz w:val="28"/>
        </w:rPr>
        <w:fldChar w:fldCharType="end"/>
      </w:r>
    </w:p>
    <w:p>
      <w:pPr>
        <w:rPr>
          <w:rFonts w:ascii="仿宋_GB2312" w:hAnsi="仿宋_GB2312" w:eastAsia="仿宋_GB2312" w:cs="仿宋_GB2312"/>
          <w:sz w:val="30"/>
          <w:szCs w:val="30"/>
        </w:rPr>
        <w:sectPr>
          <w:headerReference r:id="rId3" w:type="first"/>
          <w:footerReference r:id="rId6" w:type="first"/>
          <w:footerReference r:id="rId4" w:type="default"/>
          <w:footerReference r:id="rId5" w:type="even"/>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Cs w:val="30"/>
        </w:rPr>
        <w:fldChar w:fldCharType="end"/>
      </w:r>
    </w:p>
    <w:p>
      <w:pPr>
        <w:spacing w:line="560" w:lineRule="exact"/>
        <w:jc w:val="center"/>
        <w:rPr>
          <w:rFonts w:ascii="方正小标宋简体" w:hAnsi="方正小标宋简体" w:eastAsia="方正小标宋简体" w:cs="楷体"/>
          <w:bCs/>
          <w:smallCaps/>
          <w:sz w:val="40"/>
          <w:szCs w:val="40"/>
        </w:rPr>
      </w:pPr>
      <w:r>
        <w:rPr>
          <w:rFonts w:hint="eastAsia" w:ascii="方正小标宋简体" w:hAnsi="方正小标宋简体" w:eastAsia="方正小标宋简体" w:cs="楷体"/>
          <w:bCs/>
          <w:smallCaps/>
          <w:sz w:val="40"/>
          <w:szCs w:val="40"/>
        </w:rPr>
        <w:t>通城县石南镇人民政府2022年度</w:t>
      </w:r>
    </w:p>
    <w:p>
      <w:pPr>
        <w:spacing w:line="560" w:lineRule="exact"/>
        <w:jc w:val="center"/>
        <w:rPr>
          <w:rFonts w:ascii="方正小标宋简体" w:hAnsi="方正小标宋简体" w:eastAsia="方正小标宋简体" w:cs="楷体"/>
          <w:bCs/>
          <w:smallCaps/>
          <w:sz w:val="40"/>
          <w:szCs w:val="40"/>
        </w:rPr>
      </w:pPr>
      <w:r>
        <w:rPr>
          <w:rFonts w:hint="eastAsia" w:ascii="方正小标宋简体" w:hAnsi="方正小标宋简体" w:eastAsia="方正小标宋简体" w:cs="楷体"/>
          <w:bCs/>
          <w:smallCaps/>
          <w:sz w:val="40"/>
          <w:szCs w:val="40"/>
        </w:rPr>
        <w:t>部门整体绩效评价报告</w:t>
      </w:r>
    </w:p>
    <w:p>
      <w:pPr>
        <w:spacing w:line="560" w:lineRule="exact"/>
        <w:ind w:firstLine="3534" w:firstLineChars="1100"/>
        <w:rPr>
          <w:rFonts w:ascii="楷体_GB2312" w:hAnsi="楷体" w:eastAsia="楷体_GB2312" w:cs="楷体"/>
          <w:b/>
          <w:bCs/>
          <w:sz w:val="32"/>
          <w:szCs w:val="32"/>
        </w:rPr>
      </w:pPr>
      <w:r>
        <w:rPr>
          <w:rFonts w:hint="eastAsia" w:ascii="楷体_GB2312" w:hAnsi="楷体" w:eastAsia="楷体_GB2312" w:cs="楷体"/>
          <w:b/>
          <w:bCs/>
          <w:sz w:val="32"/>
          <w:szCs w:val="32"/>
        </w:rPr>
        <w:t>（缩略版）</w:t>
      </w:r>
    </w:p>
    <w:p>
      <w:pPr>
        <w:spacing w:line="360" w:lineRule="auto"/>
        <w:rPr>
          <w:rFonts w:ascii="Times New Roman" w:hAnsi="Times New Roman" w:eastAsia="仿宋_GB2312"/>
          <w:sz w:val="32"/>
          <w:szCs w:val="32"/>
        </w:rPr>
      </w:pPr>
    </w:p>
    <w:p>
      <w:pPr>
        <w:spacing w:line="560" w:lineRule="exact"/>
        <w:ind w:firstLine="640" w:firstLineChars="200"/>
        <w:outlineLvl w:val="0"/>
        <w:rPr>
          <w:rFonts w:ascii="黑体" w:hAnsi="黑体" w:eastAsia="黑体" w:cs="黑体"/>
          <w:sz w:val="32"/>
          <w:szCs w:val="32"/>
        </w:rPr>
      </w:pPr>
      <w:bookmarkStart w:id="0" w:name="_Toc11736"/>
      <w:r>
        <w:rPr>
          <w:rFonts w:hint="eastAsia" w:ascii="黑体" w:hAnsi="黑体" w:eastAsia="黑体" w:cs="黑体"/>
          <w:sz w:val="32"/>
          <w:szCs w:val="32"/>
        </w:rPr>
        <w:t>一、评价结论</w:t>
      </w:r>
      <w:bookmarkEnd w:id="0"/>
    </w:p>
    <w:p>
      <w:pPr>
        <w:spacing w:line="560" w:lineRule="exact"/>
        <w:ind w:firstLine="640" w:firstLineChars="200"/>
        <w:outlineLvl w:val="1"/>
        <w:rPr>
          <w:rFonts w:ascii="楷体_GB2312" w:hAnsi="楷体_GB2312" w:eastAsia="楷体_GB2312" w:cs="楷体_GB2312"/>
          <w:sz w:val="32"/>
          <w:szCs w:val="32"/>
        </w:rPr>
      </w:pPr>
      <w:bookmarkStart w:id="1" w:name="_Toc28979"/>
      <w:r>
        <w:rPr>
          <w:rFonts w:hint="eastAsia" w:ascii="楷体_GB2312" w:hAnsi="楷体_GB2312" w:eastAsia="楷体_GB2312" w:cs="楷体_GB2312"/>
          <w:sz w:val="32"/>
          <w:szCs w:val="32"/>
        </w:rPr>
        <w:t>（一）绩效评价分数和等级</w:t>
      </w:r>
      <w:bookmarkEnd w:id="1"/>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通城县石南镇人民政府2022年部门整体支出绩效评价指标总分100分，综合评价得分86.65分，评价等级为“</w:t>
      </w:r>
      <w:r>
        <w:rPr>
          <w:rFonts w:hint="eastAsia" w:ascii="仿宋_GB2312" w:hAnsi="Times New Roman" w:eastAsia="仿宋_GB2312"/>
          <w:b/>
          <w:sz w:val="32"/>
          <w:szCs w:val="32"/>
        </w:rPr>
        <w:t>良</w:t>
      </w:r>
      <w:r>
        <w:rPr>
          <w:rFonts w:hint="eastAsia" w:ascii="仿宋_GB2312" w:hAnsi="Times New Roman" w:eastAsia="仿宋_GB2312"/>
          <w:sz w:val="32"/>
          <w:szCs w:val="32"/>
        </w:rPr>
        <w:t>”。</w:t>
      </w:r>
    </w:p>
    <w:p>
      <w:pPr>
        <w:spacing w:line="560" w:lineRule="exact"/>
        <w:ind w:firstLine="2409" w:firstLineChars="800"/>
        <w:rPr>
          <w:rFonts w:ascii="宋体" w:hAnsi="宋体" w:cs="宋体"/>
          <w:b/>
          <w:sz w:val="30"/>
          <w:szCs w:val="30"/>
        </w:rPr>
      </w:pPr>
      <w:bookmarkStart w:id="2" w:name="_Toc1113"/>
      <w:r>
        <w:rPr>
          <w:rFonts w:hint="eastAsia" w:ascii="宋体" w:hAnsi="宋体" w:cs="宋体"/>
          <w:b/>
          <w:sz w:val="30"/>
          <w:szCs w:val="30"/>
        </w:rPr>
        <w:t>绩效指标评价得分及等级表</w:t>
      </w:r>
    </w:p>
    <w:tbl>
      <w:tblPr>
        <w:tblStyle w:val="10"/>
        <w:tblW w:w="8364" w:type="dxa"/>
        <w:jc w:val="center"/>
        <w:tblLayout w:type="fixed"/>
        <w:tblCellMar>
          <w:top w:w="15" w:type="dxa"/>
          <w:left w:w="15" w:type="dxa"/>
          <w:bottom w:w="15" w:type="dxa"/>
          <w:right w:w="15" w:type="dxa"/>
        </w:tblCellMar>
      </w:tblPr>
      <w:tblGrid>
        <w:gridCol w:w="2410"/>
        <w:gridCol w:w="1985"/>
        <w:gridCol w:w="1984"/>
        <w:gridCol w:w="1985"/>
      </w:tblGrid>
      <w:tr>
        <w:tblPrEx>
          <w:tblCellMar>
            <w:top w:w="15" w:type="dxa"/>
            <w:left w:w="15" w:type="dxa"/>
            <w:bottom w:w="15" w:type="dxa"/>
            <w:right w:w="15" w:type="dxa"/>
          </w:tblCellMar>
        </w:tblPrEx>
        <w:trPr>
          <w:trHeight w:val="598"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一级指标</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标准分值</w:t>
            </w:r>
          </w:p>
        </w:tc>
        <w:tc>
          <w:tcPr>
            <w:tcW w:w="198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仿宋"/>
                <w:b/>
                <w:color w:val="000000"/>
                <w:sz w:val="24"/>
              </w:rPr>
            </w:pPr>
            <w:r>
              <w:rPr>
                <w:rFonts w:hint="eastAsia" w:ascii="宋体" w:hAnsi="宋体" w:cs="仿宋"/>
                <w:b/>
                <w:color w:val="000000"/>
                <w:sz w:val="24"/>
              </w:rPr>
              <w:t>评价得分</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仿宋"/>
                <w:b/>
                <w:color w:val="000000"/>
                <w:sz w:val="24"/>
              </w:rPr>
            </w:pPr>
            <w:r>
              <w:rPr>
                <w:rFonts w:hint="eastAsia" w:ascii="宋体" w:hAnsi="宋体" w:cs="仿宋"/>
                <w:b/>
                <w:color w:val="000000"/>
                <w:sz w:val="24"/>
              </w:rPr>
              <w:t>评价等级</w:t>
            </w:r>
          </w:p>
        </w:tc>
      </w:tr>
      <w:tr>
        <w:tblPrEx>
          <w:tblCellMar>
            <w:top w:w="15" w:type="dxa"/>
            <w:left w:w="15" w:type="dxa"/>
            <w:bottom w:w="15" w:type="dxa"/>
            <w:right w:w="15" w:type="dxa"/>
          </w:tblCellMar>
        </w:tblPrEx>
        <w:trPr>
          <w:trHeight w:val="380"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运行成本</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8</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8</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优</w:t>
            </w:r>
          </w:p>
        </w:tc>
      </w:tr>
      <w:tr>
        <w:tblPrEx>
          <w:tblCellMar>
            <w:top w:w="15" w:type="dxa"/>
            <w:left w:w="15" w:type="dxa"/>
            <w:bottom w:w="15" w:type="dxa"/>
            <w:right w:w="15" w:type="dxa"/>
          </w:tblCellMar>
        </w:tblPrEx>
        <w:trPr>
          <w:trHeight w:val="374"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管理效率</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22</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19.15</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良</w:t>
            </w:r>
          </w:p>
        </w:tc>
      </w:tr>
      <w:tr>
        <w:tblPrEx>
          <w:tblCellMar>
            <w:top w:w="15" w:type="dxa"/>
            <w:left w:w="15" w:type="dxa"/>
            <w:bottom w:w="15" w:type="dxa"/>
            <w:right w:w="15" w:type="dxa"/>
          </w:tblCellMar>
        </w:tblPrEx>
        <w:trPr>
          <w:trHeight w:val="401"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履职效能</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30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27</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优</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社会效应</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30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25</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良</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rPr>
              <w:t>可持续发展能力</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6</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3.5</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差</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服务对象满意度</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4</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4</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优</w:t>
            </w:r>
          </w:p>
        </w:tc>
      </w:tr>
      <w:tr>
        <w:tblPrEx>
          <w:tblCellMar>
            <w:top w:w="15" w:type="dxa"/>
            <w:left w:w="15" w:type="dxa"/>
            <w:bottom w:w="15" w:type="dxa"/>
            <w:right w:w="15" w:type="dxa"/>
          </w:tblCellMar>
        </w:tblPrEx>
        <w:trPr>
          <w:trHeight w:val="375"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综合得分与等级</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100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sz w:val="24"/>
              </w:rPr>
              <w:t>86.65</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sz w:val="24"/>
              </w:rPr>
              <w:t>良</w:t>
            </w:r>
          </w:p>
        </w:tc>
      </w:tr>
    </w:tbl>
    <w:p>
      <w:pPr>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（二）绩效评价指标情况</w:t>
      </w:r>
      <w:bookmarkEnd w:id="2"/>
    </w:p>
    <w:p>
      <w:pPr>
        <w:spacing w:line="560" w:lineRule="exact"/>
        <w:ind w:firstLine="643" w:firstLineChars="200"/>
        <w:rPr>
          <w:rFonts w:ascii="仿宋_GB2312" w:hAnsi="Times New Roman" w:eastAsia="仿宋_GB2312"/>
          <w:b/>
          <w:sz w:val="32"/>
          <w:szCs w:val="32"/>
        </w:rPr>
      </w:pPr>
      <w:r>
        <w:rPr>
          <w:rFonts w:hint="eastAsia" w:ascii="仿宋_GB2312" w:hAnsi="Times New Roman" w:eastAsia="仿宋_GB2312"/>
          <w:b/>
          <w:sz w:val="32"/>
          <w:szCs w:val="32"/>
        </w:rPr>
        <w:t>1.从运行成本、管理效率、履职效能、社会效应、可持续发展能力和满意度维度，给出各指标的得分情况并简要分析。</w:t>
      </w:r>
    </w:p>
    <w:p>
      <w:pPr>
        <w:spacing w:line="560" w:lineRule="exac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（1）运行成本。</w:t>
      </w:r>
      <w:r>
        <w:rPr>
          <w:rFonts w:hint="eastAsia" w:ascii="仿宋_GB2312" w:hAnsi="Times New Roman" w:eastAsia="仿宋_GB2312"/>
          <w:sz w:val="32"/>
          <w:szCs w:val="32"/>
        </w:rPr>
        <w:t>权重8分，得分8分。石南镇认真落实中央“八项规定”，坚持厉行节约、反对浪费和过“紧日子”的要求，大力压缩一般性行政支出, 控制在职人员数量；本年度“三公”经费预算执行数26.24万元，与上年相比减少10%。</w:t>
      </w:r>
    </w:p>
    <w:p>
      <w:pPr>
        <w:spacing w:line="560" w:lineRule="exac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（2）管理效率。</w:t>
      </w:r>
      <w:r>
        <w:rPr>
          <w:rFonts w:hint="eastAsia" w:ascii="仿宋_GB2312" w:hAnsi="Times New Roman" w:eastAsia="仿宋_GB2312"/>
          <w:sz w:val="32"/>
          <w:szCs w:val="32"/>
        </w:rPr>
        <w:t>权重22分，得分19.15分，扣分2.85分。该镇财务管理制度较为健全，预算资金使用符合国家财经法规和财务管理制度的规定，资金拨付程序基本合规，公用经费不存在超标准支出情况。主要扣分点：</w:t>
      </w:r>
      <w:r>
        <w:rPr>
          <w:rFonts w:hint="eastAsia" w:ascii="仿宋_GB2312" w:hAnsi="仿宋" w:eastAsia="仿宋_GB2312"/>
          <w:sz w:val="32"/>
          <w:szCs w:val="32"/>
        </w:rPr>
        <w:t>一是部门预算编制不够准确，未经过科学测算，调整预算数与年初预算数相比变动较大；二是该镇资产管理工作存在不足，公车实物与资产管理系统内记载的不一致；三是财务管理制度未得到有效执行，现场查阅账务处理发现存在附件不完整、附件审核不严谨等情况。</w:t>
      </w:r>
    </w:p>
    <w:p>
      <w:pPr>
        <w:spacing w:line="560" w:lineRule="exac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（3）履职效能。</w:t>
      </w:r>
      <w:r>
        <w:rPr>
          <w:rFonts w:hint="eastAsia" w:ascii="仿宋_GB2312" w:hAnsi="Times New Roman" w:eastAsia="仿宋_GB2312"/>
          <w:sz w:val="32"/>
          <w:szCs w:val="32"/>
        </w:rPr>
        <w:t>权重30分，得分27分，扣分3分。2022年县委、县政府布置的重点工作任务全面完成，镇级经济发展、民生工程、社会治理、生态环境、共同缔造、常态化疫情防控、巩固拓展脱贫攻坚成果同乡村振兴有效衔接考核评估反馈问题挂牌督办整改任务完成较好。主要扣分点在于：2022年税收收入比上年度下降。</w:t>
      </w:r>
    </w:p>
    <w:p>
      <w:pPr>
        <w:spacing w:line="560" w:lineRule="exac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（4）社会效应。</w:t>
      </w:r>
      <w:r>
        <w:rPr>
          <w:rFonts w:hint="eastAsia" w:ascii="仿宋_GB2312" w:hAnsi="Times New Roman" w:eastAsia="仿宋_GB2312"/>
          <w:sz w:val="32"/>
          <w:szCs w:val="32"/>
        </w:rPr>
        <w:t>权重30分，得分25分，扣分5分。该镇坚持以人民为中心的发展观，加快推进社会事业建设，不断完善道路建设，做好社会事务工作，持续优化人居环境，加强各领域安全生产排查整治，着力构建“平安社会”，提升了人民群众幸福感。主要扣分点在于：一是基础设施建设还不够完善;二是人居环境整治中长效机制不健全,边整治边反弹的现象仍然存在。</w:t>
      </w:r>
    </w:p>
    <w:p>
      <w:pPr>
        <w:spacing w:line="560" w:lineRule="exac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（5）可持续发展能力。</w:t>
      </w:r>
      <w:r>
        <w:rPr>
          <w:rFonts w:hint="eastAsia" w:ascii="仿宋_GB2312" w:hAnsi="Times New Roman" w:eastAsia="仿宋_GB2312"/>
          <w:sz w:val="32"/>
          <w:szCs w:val="32"/>
        </w:rPr>
        <w:t>权重6分，得分3.5分，扣分2.5分。该镇制定了干部队伍教育培训计划，提升干部政治理论水平和业务技能，运用信息化手段提升工作效率及管理效能。主要扣分点：一是石南镇人民政府公务员队伍高学历人才占比不够，仅为43.24%，二是政府体制机制创新不够，运用新信息、新技术指导推动工作方面存在不足。</w:t>
      </w:r>
    </w:p>
    <w:p>
      <w:pPr>
        <w:spacing w:line="560" w:lineRule="exac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（6）满意度。</w:t>
      </w:r>
      <w:r>
        <w:rPr>
          <w:rFonts w:hint="eastAsia" w:ascii="仿宋_GB2312" w:hAnsi="Times New Roman" w:eastAsia="仿宋_GB2312"/>
          <w:sz w:val="32"/>
          <w:szCs w:val="32"/>
        </w:rPr>
        <w:t>权重4分，得分4分。绩效评价工作组通过发放政府机关干部问卷调查，社区群众对政府工作满意度测评，政府机关干部认可度、社区群众对政府工作满意度达95%以上。</w:t>
      </w:r>
    </w:p>
    <w:p>
      <w:pPr>
        <w:spacing w:line="560" w:lineRule="exact"/>
        <w:ind w:firstLine="643" w:firstLineChars="200"/>
        <w:rPr>
          <w:rFonts w:ascii="仿宋_GB2312" w:hAnsi="Times New Roman" w:eastAsia="仿宋_GB2312"/>
          <w:b/>
          <w:sz w:val="32"/>
          <w:szCs w:val="32"/>
        </w:rPr>
      </w:pPr>
      <w:r>
        <w:rPr>
          <w:rFonts w:hint="eastAsia" w:ascii="仿宋_GB2312" w:hAnsi="Times New Roman" w:eastAsia="仿宋_GB2312"/>
          <w:b/>
          <w:sz w:val="32"/>
          <w:szCs w:val="32"/>
        </w:rPr>
        <w:t>2.从绩效创新型指标维度，简要分析创新型指标的占比。</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创新型指标方面，绩效指标体系共设置3级指标41个，其中创新型指标7个，占比17.07%，满足三级指标中的绩效创新型指标应当按照不低于三级指标总数的10%设定的要求。</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创新型指标权重6分，石南镇得分3.5分，扣分2.5分。主要扣分点在于</w:t>
      </w:r>
      <w:r>
        <w:rPr>
          <w:rFonts w:hint="eastAsia" w:ascii="仿宋_GB2312" w:hAnsi="仿宋" w:eastAsia="仿宋_GB2312" w:cs="宋体"/>
          <w:bCs/>
          <w:sz w:val="32"/>
          <w:szCs w:val="32"/>
        </w:rPr>
        <w:t>政府体制机制创新活力不够，运用新信息、新技术指导推动工作方面存在不足。</w:t>
      </w:r>
    </w:p>
    <w:p>
      <w:pPr>
        <w:spacing w:line="560" w:lineRule="exact"/>
        <w:ind w:firstLine="640" w:firstLineChars="200"/>
        <w:outlineLvl w:val="1"/>
        <w:rPr>
          <w:rFonts w:ascii="楷体_GB2312" w:hAnsi="楷体_GB2312" w:eastAsia="楷体_GB2312" w:cs="楷体_GB2312"/>
          <w:sz w:val="32"/>
          <w:szCs w:val="32"/>
        </w:rPr>
      </w:pPr>
      <w:bookmarkStart w:id="3" w:name="_Toc30966"/>
      <w:r>
        <w:rPr>
          <w:rFonts w:hint="eastAsia" w:ascii="楷体_GB2312" w:hAnsi="楷体_GB2312" w:eastAsia="楷体_GB2312" w:cs="楷体_GB2312"/>
          <w:sz w:val="32"/>
          <w:szCs w:val="32"/>
        </w:rPr>
        <w:t>（三）主要成效、存在的突出问题和原因</w:t>
      </w:r>
      <w:bookmarkEnd w:id="3"/>
    </w:p>
    <w:p>
      <w:pPr>
        <w:spacing w:line="560" w:lineRule="exact"/>
        <w:ind w:firstLine="640" w:firstLineChars="200"/>
        <w:rPr>
          <w:rFonts w:ascii="仿宋_GB2312" w:hAnsi="Times New Roman" w:eastAsia="仿宋_GB2312"/>
          <w:sz w:val="32"/>
          <w:szCs w:val="32"/>
        </w:rPr>
      </w:pPr>
      <w:r>
        <w:rPr>
          <w:rFonts w:hint="eastAsia" w:ascii="仿宋_GB2312" w:hAnsi="仿宋_GB2312" w:eastAsia="仿宋_GB2312" w:cs="仿宋_GB2312"/>
          <w:sz w:val="32"/>
          <w:szCs w:val="32"/>
        </w:rPr>
        <w:t>包括核实和评述以前年度结果应用情况，列举本年度本部门</w:t>
      </w:r>
      <w:r>
        <w:rPr>
          <w:rFonts w:hint="eastAsia" w:ascii="仿宋_GB2312" w:hAnsi="Times New Roman" w:eastAsia="仿宋_GB2312"/>
          <w:sz w:val="32"/>
          <w:szCs w:val="32"/>
        </w:rPr>
        <w:t>主要成效、绩效存在的突出问题和原因。</w:t>
      </w:r>
    </w:p>
    <w:p>
      <w:pPr>
        <w:numPr>
          <w:ilvl w:val="0"/>
          <w:numId w:val="1"/>
        </w:numPr>
        <w:spacing w:line="560" w:lineRule="exact"/>
        <w:rPr>
          <w:rFonts w:ascii="仿宋_GB2312" w:hAnsi="Times New Roman" w:eastAsia="仿宋_GB2312"/>
          <w:b/>
          <w:sz w:val="32"/>
          <w:szCs w:val="32"/>
        </w:rPr>
      </w:pPr>
      <w:r>
        <w:rPr>
          <w:rFonts w:hint="eastAsia" w:ascii="仿宋_GB2312" w:hAnsi="Times New Roman" w:eastAsia="仿宋_GB2312"/>
          <w:b/>
          <w:sz w:val="32"/>
          <w:szCs w:val="32"/>
        </w:rPr>
        <w:t>主要成效</w:t>
      </w:r>
    </w:p>
    <w:p>
      <w:pPr>
        <w:spacing w:line="560" w:lineRule="exac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一是深入推进党的建设，提升机关干部服务能力。</w:t>
      </w:r>
      <w:r>
        <w:rPr>
          <w:rFonts w:hint="eastAsia" w:ascii="仿宋_GB2312" w:hAnsi="Times New Roman" w:eastAsia="仿宋_GB2312"/>
          <w:sz w:val="32"/>
          <w:szCs w:val="32"/>
        </w:rPr>
        <w:t>镇党委2022年召开党委理论中心组集中学习11次、党委会学习22次，组织开展廉洁教育培训3次，观看警示教育片5次，组织红色清廉故事宣讲活动1次。将学习和解决问题相结合，提升机关干部服务群众、服务发展的能力。</w:t>
      </w:r>
      <w:r>
        <w:rPr>
          <w:rFonts w:hint="eastAsia" w:ascii="仿宋_GB2312" w:hAnsi="Times New Roman" w:eastAsia="仿宋_GB2312"/>
          <w:b/>
          <w:sz w:val="32"/>
          <w:szCs w:val="32"/>
        </w:rPr>
        <w:t>二是服务重点项目建设，推动经济高质量发展。</w:t>
      </w:r>
      <w:r>
        <w:rPr>
          <w:rFonts w:hint="eastAsia" w:ascii="仿宋_GB2312" w:hAnsi="Times New Roman" w:eastAsia="仿宋_GB2312"/>
          <w:sz w:val="32"/>
          <w:szCs w:val="32"/>
        </w:rPr>
        <w:t>2022年，该镇完成3家企业征地191.76亩，其中砂布小镇孵化园区125.76亩，鑫城搅拌站项目16亩，中天科技新能源汽车项目50亩。完成砂布小镇附属设施建设污水管网4,000多米，提升其承载能力，大力保障中天科技新能源、鑫诚年产30万吨干混砂浆、湖北平升水泥制品、玉立集团新型砂带等重点项目，促其发挥经济效益。</w:t>
      </w:r>
      <w:r>
        <w:rPr>
          <w:rFonts w:hint="eastAsia" w:ascii="仿宋_GB2312" w:hAnsi="Times New Roman" w:eastAsia="仿宋_GB2312"/>
          <w:b/>
          <w:sz w:val="32"/>
          <w:szCs w:val="32"/>
        </w:rPr>
        <w:t>三是扎实开展乡村振兴工作，持续巩固拓展脱贫成效。</w:t>
      </w:r>
      <w:r>
        <w:rPr>
          <w:rFonts w:hint="eastAsia" w:ascii="仿宋_GB2312" w:hAnsi="Times New Roman" w:eastAsia="仿宋_GB2312"/>
          <w:sz w:val="32"/>
          <w:szCs w:val="32"/>
        </w:rPr>
        <w:t>该镇2022年申报衔接资金项目共7个，资金279.5万元，均已完工验收并投入使用。以产业发展推进联农带农工作，新建标准化油茶产业基地455.5亩、茶园基地90亩、中药材基地500亩；发展村级电商物流站点9个，销售农副产品27.99万元；培育新型农业经营主体，全年净增市场主体191户，带动脱贫人口和监测对象276人，落实公益性岗位安置221人；全年为1,173户发放产业奖补资金131.364万元。</w:t>
      </w:r>
      <w:r>
        <w:rPr>
          <w:rFonts w:hint="eastAsia" w:ascii="仿宋_GB2312" w:hAnsi="Times New Roman" w:eastAsia="仿宋_GB2312"/>
          <w:b/>
          <w:sz w:val="32"/>
          <w:szCs w:val="32"/>
        </w:rPr>
        <w:t>四是支持社会事业发展，持续改善人居环境。</w:t>
      </w:r>
      <w:r>
        <w:rPr>
          <w:rFonts w:hint="eastAsia" w:ascii="仿宋_GB2312" w:hAnsi="Times New Roman" w:eastAsia="仿宋_GB2312"/>
          <w:sz w:val="32"/>
          <w:szCs w:val="32"/>
        </w:rPr>
        <w:t>投入资金49万元用于人居环境整治，完成主干道刷黑4.5公里，全镇村级道路完成硬化、拓宽9.8公里，新建水泥路9公里，为广大群众营造美丽宜居的生活环境。</w:t>
      </w:r>
    </w:p>
    <w:p>
      <w:pPr>
        <w:numPr>
          <w:ilvl w:val="0"/>
          <w:numId w:val="1"/>
        </w:numPr>
        <w:spacing w:line="560" w:lineRule="exact"/>
        <w:rPr>
          <w:rFonts w:ascii="仿宋_GB2312" w:hAnsi="Times New Roman" w:eastAsia="仿宋_GB2312"/>
          <w:sz w:val="32"/>
          <w:szCs w:val="32"/>
        </w:rPr>
      </w:pPr>
      <w:r>
        <w:rPr>
          <w:rFonts w:hint="eastAsia" w:ascii="仿宋_GB2312" w:hAnsi="Times New Roman" w:eastAsia="仿宋_GB2312"/>
          <w:sz w:val="32"/>
          <w:szCs w:val="32"/>
        </w:rPr>
        <w:t>存在的突出问题和原因</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(1)部门预算编制和执行不严谨。</w:t>
      </w:r>
      <w:r>
        <w:rPr>
          <w:rFonts w:hint="eastAsia" w:ascii="仿宋_GB2312" w:hAnsi="仿宋_GB2312" w:eastAsia="仿宋_GB2312" w:cs="仿宋_GB2312"/>
          <w:sz w:val="32"/>
          <w:szCs w:val="32"/>
        </w:rPr>
        <w:t>一是部门预算编制不够准确精细, 在预算执行过程中调整比例较大，特别是人员经费预算编制与实际使用差距较大,部门预算的编制和执行不严谨；同时预算调整未申报批复。政府预算资金调整未见申报办理程序资料，预算资金安排和使用随意性较大。</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(2)政府财务管理规范性不足。</w:t>
      </w:r>
      <w:r>
        <w:rPr>
          <w:rFonts w:hint="eastAsia" w:ascii="仿宋_GB2312" w:hAnsi="仿宋_GB2312" w:eastAsia="仿宋_GB2312" w:cs="仿宋_GB2312"/>
          <w:sz w:val="32"/>
          <w:szCs w:val="32"/>
        </w:rPr>
        <w:t>一是合同管理不规范，存在未签订劳务合同支付护路员工资等问题。二是支出分类不够准确，存在将会议费误计为招待费的情况。三是部分会计凭证附件缺失。四是库存现金数额过大，时间之长。</w:t>
      </w:r>
    </w:p>
    <w:p>
      <w:pPr>
        <w:spacing w:line="56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sz w:val="32"/>
          <w:szCs w:val="32"/>
        </w:rPr>
        <w:t>(</w:t>
      </w:r>
      <w:r>
        <w:rPr>
          <w:rFonts w:hint="eastAsia" w:ascii="仿宋_GB2312" w:hAnsi="仿宋_GB2312" w:eastAsia="仿宋_GB2312" w:cs="仿宋_GB2312"/>
          <w:b/>
          <w:sz w:val="32"/>
          <w:szCs w:val="32"/>
        </w:rPr>
        <w:t>3</w:t>
      </w:r>
      <w:r>
        <w:rPr>
          <w:rFonts w:ascii="仿宋_GB2312" w:hAnsi="仿宋_GB2312" w:eastAsia="仿宋_GB2312" w:cs="仿宋_GB2312"/>
          <w:b/>
          <w:sz w:val="32"/>
          <w:szCs w:val="32"/>
        </w:rPr>
        <w:t>)</w:t>
      </w:r>
      <w:r>
        <w:rPr>
          <w:rFonts w:hint="eastAsia" w:ascii="仿宋_GB2312" w:hAnsi="仿宋_GB2312" w:eastAsia="仿宋_GB2312" w:cs="仿宋_GB2312"/>
          <w:b/>
          <w:sz w:val="32"/>
          <w:szCs w:val="32"/>
        </w:rPr>
        <w:t>借支拖欠挪用公款较为突出。</w:t>
      </w:r>
      <w:r>
        <w:rPr>
          <w:rFonts w:hint="eastAsia" w:ascii="仿宋_GB2312" w:hAnsi="仿宋_GB2312" w:eastAsia="仿宋_GB2312" w:cs="仿宋_GB2312"/>
          <w:sz w:val="32"/>
          <w:szCs w:val="32"/>
        </w:rPr>
        <w:t>在评价过程中发现政府机关账面库存现金达286.12万元，据政府报账员提供的单据核实，实际上是政府机关干部因私借用镇政府公款未归还、因公借欠镇政府公款尚未归还或尚未报账，以及其他原因经手未归还或未报账等，时间跨度最短的2年，最长账龄达23年。这些往来款数额之大，时间之长，长期不归还，在干部群众中影响很坏，反映该镇过去执行财经纪律、财务制度不严，财务管理偏松，存在较多漏洞。</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(4)固定资产管理账实不符。</w:t>
      </w:r>
      <w:r>
        <w:rPr>
          <w:rFonts w:hint="eastAsia" w:ascii="仿宋_GB2312" w:hAnsi="仿宋_GB2312" w:eastAsia="仿宋_GB2312" w:cs="仿宋_GB2312"/>
          <w:sz w:val="32"/>
          <w:szCs w:val="32"/>
        </w:rPr>
        <w:t>石南镇资产管理系统中存在公务用车一辆，型号为桑塔纳3000，车牌号鄂L53525,投入使用日期为2006年6月30日。但实际上根据现场核查，石南镇政府公务用车一辆，型号为东风本田CRV，车牌号鄂LW5199。与资产账面不符。经政府工作人员解释，车牌号鄂L53525的公车为以前年度某领导自购高配置车辆已上交。现使用车辆系县自然资源和规划局的车辆移交给政府使用，但未见相关移交资料。</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(5)政府绩效管理工作流于形式。</w:t>
      </w:r>
      <w:r>
        <w:rPr>
          <w:rFonts w:hint="eastAsia" w:ascii="仿宋_GB2312" w:hAnsi="仿宋_GB2312" w:eastAsia="仿宋_GB2312" w:cs="仿宋_GB2312"/>
          <w:sz w:val="32"/>
          <w:szCs w:val="32"/>
        </w:rPr>
        <w:t>该镇把绩效目标编制当成是申请预算资金的一项规定动作，并未真正意识到绩效目标的作用和重要性，未建立完善的内部协同机制，内部的绩效管理工作都是由财务部门负责完成，单位内部各部门之间的配合度较低，导致出现绩效目标与业务相关性不高、缺乏核心指标、指标值设置不准确等情况。</w:t>
      </w:r>
    </w:p>
    <w:p>
      <w:pPr>
        <w:spacing w:line="560" w:lineRule="exact"/>
        <w:ind w:firstLine="640" w:firstLineChars="200"/>
        <w:outlineLvl w:val="1"/>
        <w:rPr>
          <w:rFonts w:ascii="楷体_GB2312" w:hAnsi="楷体_GB2312" w:eastAsia="楷体_GB2312" w:cs="楷体_GB2312"/>
          <w:sz w:val="32"/>
          <w:szCs w:val="32"/>
        </w:rPr>
      </w:pPr>
      <w:bookmarkStart w:id="4" w:name="_Toc32737"/>
      <w:r>
        <w:rPr>
          <w:rFonts w:hint="eastAsia" w:ascii="楷体_GB2312" w:hAnsi="楷体_GB2312" w:eastAsia="楷体_GB2312" w:cs="楷体_GB2312"/>
          <w:sz w:val="32"/>
          <w:szCs w:val="32"/>
        </w:rPr>
        <w:t>（四）下一步拟改进措施</w:t>
      </w:r>
      <w:bookmarkEnd w:id="4"/>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1.规范政府预算编制流程。</w:t>
      </w:r>
      <w:r>
        <w:rPr>
          <w:rFonts w:hint="eastAsia" w:ascii="仿宋_GB2312" w:hAnsi="仿宋_GB2312" w:eastAsia="仿宋_GB2312" w:cs="仿宋_GB2312"/>
          <w:sz w:val="32"/>
          <w:szCs w:val="32"/>
        </w:rPr>
        <w:t>一是坚持“依法编制、量力而行、量入为出”原则。严格按定额和标准编制年度部门预算, 扭转主观随意性现状,使预算资金安排与乡镇机构职能相适应，财政支出与实现绩效目标相匹配。二是坚持“问题导向、严肃预算、强化约束”原则。在编制预算时，吸取上年预算编制存在问题和审计提出的整改要求，以问题为导向，严格按照《预算法》规定编制预算，一经批准严格执行，确需调整预算的严格按照法定程序执行。三是坚持“绩效评价、讲求绩效、追踪问效”原则。全面实施预算绩效管理一体化，按“花钱必问效、无效必问责”的要求，压实主体责任，推进绩效评价结果运用。</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2.完善部门内部规范化管理制度。</w:t>
      </w:r>
      <w:r>
        <w:rPr>
          <w:rFonts w:hint="eastAsia" w:ascii="仿宋_GB2312" w:hAnsi="仿宋_GB2312" w:eastAsia="仿宋_GB2312" w:cs="仿宋_GB2312"/>
          <w:sz w:val="32"/>
          <w:szCs w:val="32"/>
        </w:rPr>
        <w:t>对部门已制定内控管理系列制度，包括财务管理制度、政府采购执行、合同管理、资产管理制度等进行重新完善，增强规范性。在今后的工作中，一是定期对账目进行核查，强化报账审核；二是加强合同规范管理，规范政府采购行为，做好政府采购备案工作；三是强化固定资产管理，对政府现使用车辆补办移交手续；定期开展固定资产清理工作，保证资产账实相符。</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3.采取强硬措施开展借款清收。</w:t>
      </w:r>
      <w:r>
        <w:rPr>
          <w:rFonts w:hint="eastAsia" w:ascii="仿宋_GB2312" w:hAnsi="仿宋_GB2312" w:eastAsia="仿宋_GB2312" w:cs="仿宋_GB2312"/>
          <w:sz w:val="32"/>
          <w:szCs w:val="32"/>
        </w:rPr>
        <w:t>一是制定方案，全面开展清收工作。建议镇政府建立借款逾期问责制度，成立清收工作专班，对个人借欠的公款要认真排查、摸清底数。针对不同情况，采取灵活多样的措施组织清收。二是对不主动归还借欠公款的公职人员，将从其工资中扣缴，对不主动归还借欠公款的干部，对逾期无正当理由拒不归还借款的，所在单位可采取停发其工资、取消其年度评优评先资格、通报批评等处罚措施。三是镇纪委对借支、拖欠、挪用公款问题较为突出的单位和个人开展重点督办，分类建立台账，确有特殊情况暂时不能还清，要说明原因，制定具体还款计划。</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4.夯实预算绩效工作管理。</w:t>
      </w:r>
      <w:r>
        <w:rPr>
          <w:rFonts w:hint="eastAsia" w:ascii="仿宋_GB2312" w:hAnsi="仿宋_GB2312" w:eastAsia="仿宋_GB2312" w:cs="仿宋_GB2312"/>
          <w:sz w:val="32"/>
          <w:szCs w:val="32"/>
        </w:rPr>
        <w:t>在预算绩效管理工作中，必须遵循“支出必问效”的原则，在预算绩效目标编制实际工作中，按资金支出内容、支出方向，结合部门履职实际，全面完整地编制资金支出绩效目标与指标，为完善资金绩效管理提供导向作用。强化绩效管理意识，提高主观能动性，加强部门绩效管理制度建设，设置绩效管理的职能部门和人员，切实开展绩效管理工作，提升部门履职能力。</w:t>
      </w:r>
    </w:p>
    <w:p>
      <w:pPr>
        <w:pStyle w:val="2"/>
      </w:pPr>
    </w:p>
    <w:p/>
    <w:p>
      <w:pPr>
        <w:spacing w:line="400" w:lineRule="exact"/>
        <w:ind w:firstLine="640" w:firstLineChars="200"/>
        <w:rPr>
          <w:rFonts w:ascii="华文中宋" w:hAnsi="华文中宋" w:eastAsia="华文中宋" w:cs="楷体"/>
          <w:bCs/>
          <w:sz w:val="32"/>
          <w:szCs w:val="32"/>
        </w:rPr>
      </w:pPr>
      <w:r>
        <w:rPr>
          <w:rFonts w:hint="eastAsia" w:ascii="华文中宋" w:hAnsi="华文中宋" w:eastAsia="华文中宋" w:cs="楷体"/>
          <w:bCs/>
          <w:sz w:val="32"/>
          <w:szCs w:val="32"/>
        </w:rPr>
        <w:t xml:space="preserve">湖北恒信会计师事务有限公司     </w:t>
      </w:r>
      <w:r>
        <w:rPr>
          <w:rFonts w:ascii="华文中宋" w:hAnsi="华文中宋" w:eastAsia="华文中宋" w:cs="楷体"/>
          <w:bCs/>
          <w:sz w:val="32"/>
          <w:szCs w:val="32"/>
        </w:rPr>
        <w:t xml:space="preserve"> </w:t>
      </w:r>
      <w:r>
        <w:rPr>
          <w:rFonts w:hint="eastAsia" w:ascii="华文中宋" w:hAnsi="华文中宋" w:eastAsia="华文中宋" w:cs="楷体"/>
          <w:bCs/>
          <w:sz w:val="32"/>
          <w:szCs w:val="32"/>
        </w:rPr>
        <w:t>主评人：</w:t>
      </w:r>
    </w:p>
    <w:p>
      <w:pPr>
        <w:spacing w:line="400" w:lineRule="exact"/>
        <w:rPr>
          <w:rFonts w:ascii="华文中宋" w:hAnsi="华文中宋" w:eastAsia="华文中宋" w:cs="楷体"/>
          <w:bCs/>
          <w:sz w:val="32"/>
          <w:szCs w:val="32"/>
        </w:rPr>
      </w:pPr>
    </w:p>
    <w:p>
      <w:pPr>
        <w:spacing w:line="400" w:lineRule="exact"/>
        <w:ind w:firstLine="1920" w:firstLineChars="600"/>
        <w:rPr>
          <w:rFonts w:ascii="华文中宋" w:hAnsi="华文中宋" w:eastAsia="华文中宋" w:cs="楷体"/>
          <w:bCs/>
          <w:sz w:val="32"/>
          <w:szCs w:val="32"/>
        </w:rPr>
      </w:pPr>
      <w:r>
        <w:rPr>
          <w:rFonts w:hint="eastAsia" w:ascii="华文中宋" w:hAnsi="华文中宋" w:eastAsia="华文中宋" w:cs="楷体"/>
          <w:bCs/>
          <w:sz w:val="32"/>
          <w:szCs w:val="32"/>
        </w:rPr>
        <w:t xml:space="preserve">中国·武汉            </w:t>
      </w:r>
      <w:r>
        <w:rPr>
          <w:rFonts w:ascii="华文中宋" w:hAnsi="华文中宋" w:eastAsia="华文中宋" w:cs="楷体"/>
          <w:bCs/>
          <w:sz w:val="32"/>
          <w:szCs w:val="32"/>
        </w:rPr>
        <w:t xml:space="preserve"> </w:t>
      </w:r>
      <w:r>
        <w:rPr>
          <w:rFonts w:hint="eastAsia" w:ascii="华文中宋" w:hAnsi="华文中宋" w:eastAsia="华文中宋" w:cs="楷体"/>
          <w:bCs/>
          <w:sz w:val="32"/>
          <w:szCs w:val="32"/>
        </w:rPr>
        <w:t xml:space="preserve"> 主评人：</w:t>
      </w:r>
    </w:p>
    <w:p>
      <w:pPr>
        <w:spacing w:line="400" w:lineRule="exact"/>
        <w:rPr>
          <w:rFonts w:ascii="华文中宋" w:hAnsi="华文中宋" w:eastAsia="华文中宋" w:cs="楷体"/>
          <w:bCs/>
          <w:sz w:val="32"/>
          <w:szCs w:val="32"/>
        </w:rPr>
      </w:pPr>
    </w:p>
    <w:p>
      <w:pPr>
        <w:spacing w:line="400" w:lineRule="exact"/>
        <w:rPr>
          <w:rFonts w:ascii="华文中宋" w:hAnsi="华文中宋" w:eastAsia="华文中宋" w:cs="楷体"/>
          <w:bCs/>
          <w:sz w:val="32"/>
          <w:szCs w:val="32"/>
          <w:highlight w:val="red"/>
        </w:rPr>
        <w:sectPr>
          <w:footerReference r:id="rId7" w:type="default"/>
          <w:pgSz w:w="11906" w:h="16838"/>
          <w:pgMar w:top="2098" w:right="1474" w:bottom="1985" w:left="1588" w:header="851" w:footer="992" w:gutter="0"/>
          <w:pgNumType w:start="1"/>
          <w:cols w:space="720" w:num="1"/>
          <w:docGrid w:type="lines" w:linePitch="312" w:charSpace="0"/>
        </w:sectPr>
      </w:pPr>
      <w:r>
        <w:rPr>
          <w:rFonts w:hint="eastAsia" w:ascii="华文中宋" w:hAnsi="华文中宋" w:eastAsia="华文中宋" w:cs="楷体"/>
          <w:bCs/>
          <w:sz w:val="32"/>
          <w:szCs w:val="32"/>
        </w:rPr>
        <w:t xml:space="preserve">                             </w:t>
      </w:r>
      <w:r>
        <w:rPr>
          <w:rFonts w:ascii="华文中宋" w:hAnsi="华文中宋" w:eastAsia="华文中宋" w:cs="楷体"/>
          <w:bCs/>
          <w:sz w:val="32"/>
          <w:szCs w:val="32"/>
        </w:rPr>
        <w:t xml:space="preserve">  </w:t>
      </w:r>
      <w:r>
        <w:rPr>
          <w:rFonts w:hint="eastAsia" w:ascii="华文中宋" w:hAnsi="华文中宋" w:eastAsia="华文中宋" w:cs="楷体"/>
          <w:bCs/>
          <w:sz w:val="32"/>
          <w:szCs w:val="32"/>
        </w:rPr>
        <w:t xml:space="preserve"> 20</w:t>
      </w:r>
      <w:r>
        <w:rPr>
          <w:rFonts w:ascii="华文中宋" w:hAnsi="华文中宋" w:eastAsia="华文中宋" w:cs="楷体"/>
          <w:bCs/>
          <w:sz w:val="32"/>
          <w:szCs w:val="32"/>
        </w:rPr>
        <w:t>2</w:t>
      </w:r>
      <w:r>
        <w:rPr>
          <w:rFonts w:hint="eastAsia" w:ascii="华文中宋" w:hAnsi="华文中宋" w:eastAsia="华文中宋" w:cs="楷体"/>
          <w:bCs/>
          <w:sz w:val="32"/>
          <w:szCs w:val="32"/>
        </w:rPr>
        <w:t>3年9月28日</w:t>
      </w:r>
    </w:p>
    <w:p>
      <w:pPr>
        <w:pStyle w:val="2"/>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附件：绩效评价得分表</w:t>
      </w:r>
    </w:p>
    <w:tbl>
      <w:tblPr>
        <w:tblStyle w:val="10"/>
        <w:tblW w:w="15496" w:type="dxa"/>
        <w:tblInd w:w="93" w:type="dxa"/>
        <w:tblLayout w:type="fixed"/>
        <w:tblCellMar>
          <w:top w:w="0" w:type="dxa"/>
          <w:left w:w="108" w:type="dxa"/>
          <w:bottom w:w="0" w:type="dxa"/>
          <w:right w:w="108" w:type="dxa"/>
        </w:tblCellMar>
      </w:tblPr>
      <w:tblGrid>
        <w:gridCol w:w="1117"/>
        <w:gridCol w:w="2608"/>
        <w:gridCol w:w="2469"/>
        <w:gridCol w:w="618"/>
        <w:gridCol w:w="4317"/>
        <w:gridCol w:w="1219"/>
        <w:gridCol w:w="2409"/>
        <w:gridCol w:w="739"/>
      </w:tblGrid>
      <w:tr>
        <w:tblPrEx>
          <w:tblCellMar>
            <w:top w:w="0" w:type="dxa"/>
            <w:left w:w="108" w:type="dxa"/>
            <w:bottom w:w="0" w:type="dxa"/>
            <w:right w:w="108" w:type="dxa"/>
          </w:tblCellMar>
        </w:tblPrEx>
        <w:trPr>
          <w:trHeight w:val="444" w:hRule="atLeast"/>
          <w:tblHeader/>
        </w:trPr>
        <w:tc>
          <w:tcPr>
            <w:tcW w:w="15496"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36"/>
                <w:szCs w:val="36"/>
              </w:rPr>
            </w:pPr>
            <w:r>
              <w:rPr>
                <w:rFonts w:hint="eastAsia" w:ascii="宋体" w:hAnsi="宋体" w:cs="宋体"/>
                <w:color w:val="000000"/>
                <w:kern w:val="0"/>
                <w:sz w:val="36"/>
                <w:szCs w:val="36"/>
              </w:rPr>
              <w:t>通城县石南镇2022年度部门整体支出绩效评价得分表</w:t>
            </w:r>
          </w:p>
        </w:tc>
      </w:tr>
      <w:tr>
        <w:tblPrEx>
          <w:tblCellMar>
            <w:top w:w="0" w:type="dxa"/>
            <w:left w:w="108" w:type="dxa"/>
            <w:bottom w:w="0" w:type="dxa"/>
            <w:right w:w="108" w:type="dxa"/>
          </w:tblCellMar>
        </w:tblPrEx>
        <w:trPr>
          <w:trHeight w:val="288" w:hRule="atLeast"/>
          <w:tblHeader/>
        </w:trPr>
        <w:tc>
          <w:tcPr>
            <w:tcW w:w="11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一级指标</w:t>
            </w:r>
          </w:p>
        </w:tc>
        <w:tc>
          <w:tcPr>
            <w:tcW w:w="26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二级指标</w:t>
            </w:r>
          </w:p>
        </w:tc>
        <w:tc>
          <w:tcPr>
            <w:tcW w:w="24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三级指标</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分值</w:t>
            </w:r>
          </w:p>
        </w:tc>
        <w:tc>
          <w:tcPr>
            <w:tcW w:w="43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评价要点</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指标分类</w:t>
            </w:r>
          </w:p>
        </w:tc>
        <w:tc>
          <w:tcPr>
            <w:tcW w:w="24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评分标准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评价得分</w:t>
            </w:r>
          </w:p>
        </w:tc>
      </w:tr>
      <w:tr>
        <w:tblPrEx>
          <w:tblCellMar>
            <w:top w:w="0" w:type="dxa"/>
            <w:left w:w="108" w:type="dxa"/>
            <w:bottom w:w="0" w:type="dxa"/>
            <w:right w:w="108" w:type="dxa"/>
          </w:tblCellMar>
        </w:tblPrEx>
        <w:trPr>
          <w:trHeight w:val="1920" w:hRule="atLeast"/>
        </w:trPr>
        <w:tc>
          <w:tcPr>
            <w:tcW w:w="11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运行成本（8分）</w:t>
            </w:r>
          </w:p>
        </w:tc>
        <w:tc>
          <w:tcPr>
            <w:tcW w:w="26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公用经费控制 （2分）</w:t>
            </w:r>
          </w:p>
        </w:tc>
        <w:tc>
          <w:tcPr>
            <w:tcW w:w="24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公用经费控制 </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部门(单位)本年度实际支出的公用经费总额与预算安排的公用经费总额的比率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公用经费控制率=(实际支出公用经费总额/预算安排公用经费总额)*100%</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公用经费控制率≤100%，得满分;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公用经费控制率&gt;100%，不得分。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216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在职人员控制（2分）</w:t>
            </w:r>
          </w:p>
        </w:tc>
        <w:tc>
          <w:tcPr>
            <w:tcW w:w="24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在职人员控制率</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部门(单位)本年度实际在职人员与核定编制数的比率，在职人员控制率=(在职人员数/核定编制数)*100%</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比率&lt;100%，得满分;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比率&gt;100%，每增加1%，扣 5%权重分，扣完为止。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264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项目支出成本控制（4分）</w:t>
            </w:r>
          </w:p>
        </w:tc>
        <w:tc>
          <w:tcPr>
            <w:tcW w:w="24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会议费控制率</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部门(单位)本年度会议费支出与相关支出标准的匹配程度。</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本年度会议费支出数额小于等于相关支出标准，得满分；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出现超出标准的情况，不得分。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144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“三公经费”变动率</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部门(单位)本年度“三公经费”与上年度“三公经费”的变动比率。</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比率&gt;0%，不得分。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2088" w:hRule="atLeast"/>
        </w:trPr>
        <w:tc>
          <w:tcPr>
            <w:tcW w:w="11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管理效率(22分)</w:t>
            </w:r>
          </w:p>
        </w:tc>
        <w:tc>
          <w:tcPr>
            <w:tcW w:w="260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战略管理（2分）</w:t>
            </w:r>
          </w:p>
        </w:tc>
        <w:tc>
          <w:tcPr>
            <w:tcW w:w="24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中长期规划相符性</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部门规划与国家、县委县政府战略的匹配性、与部门职能的相符性</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全部符合（1分）；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符合其中一项（0.5分）；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不符合（0分）。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4224"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工作计划健全性</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部门年度工作计划制定是否明确、具体、可操作，是否与部门职能和中长期规划相匹配。</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非常明确、匹配，1分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比较准确、匹配，0.75～0.5分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基本准确、匹配，0.5～0.25分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基本不清晰或不明确、不匹配，0分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0.75</w:t>
            </w:r>
          </w:p>
        </w:tc>
      </w:tr>
      <w:tr>
        <w:tblPrEx>
          <w:tblCellMar>
            <w:top w:w="0" w:type="dxa"/>
            <w:left w:w="108" w:type="dxa"/>
            <w:bottom w:w="0" w:type="dxa"/>
            <w:right w:w="108" w:type="dxa"/>
          </w:tblCellMar>
        </w:tblPrEx>
        <w:trPr>
          <w:trHeight w:val="636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预算编制（5分）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预算编制科学性</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预算编制的基本信息内容是否真实、完整、准确，基本支出预算是否按照规定标准编制;项目预算测算依据是否充分。</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1.预算编制是否经过科学论证，符合部门战略发展规划；</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2.预算内容与部门职能和工作内容是否匹配；</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3.预算额度测算依据是否充分，是否按照标准编制；</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4.预算确定的预算投资额或资金量是否与工作任务相匹配。</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每一小项符合得0.25分。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w:t>
            </w:r>
          </w:p>
        </w:tc>
      </w:tr>
      <w:tr>
        <w:tblPrEx>
          <w:tblCellMar>
            <w:top w:w="0" w:type="dxa"/>
            <w:left w:w="108" w:type="dxa"/>
            <w:bottom w:w="0" w:type="dxa"/>
            <w:right w:w="108" w:type="dxa"/>
          </w:tblCellMar>
        </w:tblPrEx>
        <w:trPr>
          <w:trHeight w:val="480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预算编制合理性</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重点项目预算是否有保障;部门内部项目之间是否存在交叉重复。</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部门预算经过科学论证，与工作任务、部门绩效目标一一对应、评价依据充分，重点工作重点保障、遵循轻重缓急按序保障等、得1分；有不符评价要点的每项扣0.25分，扣完为止。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36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立项规范性</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各项目设立依据是否充分，是否按照规定的程序申请设立，事前是否经过必要的可行性研究、专家论证、风险评估、绩效评估、集体决策等。</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项目事前经过必要的论证、设立依据充分且按规定程序申请设立，得1分，有不符合评价要点的每一项扣0.3分，扣完为止。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92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预算调整率</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预算调整数与预算数的比率。预算调整数为部门(单位)在本年度内涉及预算的追加追减或结构调整的资金总和(因落实国家政策，发生不可抗力、上级部门或本级党委政府临时交办而产生的调整除外)。</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预算调整率= (预算调整数/预算数)*100%</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比率&gt;0%，每增加 1%，扣 5%权重分，扣完为止。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r>
      <w:tr>
        <w:tblPrEx>
          <w:tblCellMar>
            <w:top w:w="0" w:type="dxa"/>
            <w:left w:w="108" w:type="dxa"/>
            <w:bottom w:w="0" w:type="dxa"/>
            <w:right w:w="108" w:type="dxa"/>
          </w:tblCellMar>
        </w:tblPrEx>
        <w:trPr>
          <w:trHeight w:val="216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预算执行（5分）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部门(单位)本年度预算完成数与调整预算数的比率。得分=预算执行率*分值。</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①基本支出预算执行率=(基本支出预算执行数/基本支出调整预算数)*100%，此项分值 0.6分。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②项目支出预算执行率=(项目支出预算执行数/项目支出调整预算数)*100%，此项分值1.4分。</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比率=100%，得满分;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比率&gt;100%，每增加 1%，扣 5%权重分，扣完为止。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192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结转结余率</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部门(单位)本年度结转结余总额与调整预算数的比率，结转结余率=结转结余总额/调整预算数*100%。</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比率&gt;0%，每增加 1%，扣10%的权重分，扣完为止。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96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政府采购执行率</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 (单位)本年度实际政府采购金额与年初政府采购预算的比率，政府采购执行率=(实际政府采购金额/政府采购预算数)*100%</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得分=政府采购执行率*分值。</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216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非税收入预算完成率</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部门(单位)本年度实际非税收入完成数与年初非税收入预算数的比率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非税收入预算完成率= (非税收入实际完成数/非税收入预算数)*100%</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比率≥100%，得满分;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比率&lt;100%，每减少 1%，扣2%的权重分，扣完为止。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20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绩效管理（5分）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事前绩效评估完成率</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部门(单位)本年度开展事前绩效评估数量与新出台的申请财政资金200万元以上的重大政策和项目数量的比率。事前绩效评估完成率=(本年度开展事前绩效评估数量/新出台的申请财政资金 200万元以上的重大政策和项目数量)*100%。</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得分=事前绩效评估完成率 * 分值。</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84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绩效目标合理性</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①</w:t>
            </w:r>
            <w:r>
              <w:rPr>
                <w:rFonts w:hint="eastAsia" w:ascii="宋体" w:hAnsi="宋体" w:cs="宋体"/>
                <w:color w:val="000000"/>
                <w:kern w:val="0"/>
                <w:sz w:val="20"/>
                <w:szCs w:val="20"/>
              </w:rPr>
              <w:t xml:space="preserve">部门(单位)本年度项目支出 (包括部门预算项目支出、省直专项支出、省对下转移支付、具有特定用途和具体使用目标的共同事权类一般性转移支付)是否设置绩效目标;是否设置部门整体绩效目标 </w:t>
            </w:r>
            <w:r>
              <w:rPr>
                <w:rFonts w:hint="eastAsia" w:ascii="宋体" w:hAnsi="宋体" w:cs="宋体"/>
                <w:color w:val="000000"/>
                <w:kern w:val="0"/>
                <w:sz w:val="20"/>
                <w:szCs w:val="20"/>
              </w:rPr>
              <w:br w:type="textWrapping"/>
            </w:r>
            <w:r>
              <w:rPr>
                <w:rFonts w:hint="eastAsia" w:ascii="仿宋" w:hAnsi="仿宋" w:eastAsia="仿宋" w:cs="宋体"/>
                <w:color w:val="000000"/>
                <w:kern w:val="0"/>
                <w:sz w:val="20"/>
                <w:szCs w:val="20"/>
              </w:rPr>
              <w:t>②</w:t>
            </w:r>
            <w:r>
              <w:rPr>
                <w:rFonts w:hint="eastAsia" w:ascii="宋体" w:hAnsi="宋体" w:cs="宋体"/>
                <w:color w:val="000000"/>
                <w:kern w:val="0"/>
                <w:sz w:val="20"/>
                <w:szCs w:val="20"/>
              </w:rPr>
              <w:t>部门(单位)设置的绩效目标依据是否充分，是否符合客观实际是否符合部门制定的中长期规划和年度工作计划。</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绩效目标制定依据充分，符合客观实际、中长期规划和年度工作计划，绩效指标清晰、细化、可考量，得1分；缺失一项扣0.2分，扣完为止。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240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绩效监控开展率</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部门(单位)本年度绩效运行监控的范围是否覆盖所管理的所有项目支出，包括部门预算项目 (不含不可预见费)、省直专项、省对下转移支付、具有特定用途和具体使用目标的共同事权类一般性转移支付;是否按期完成绩效运行监控汇总分析工作</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绩效监控工作按期完成，且能覆盖所有的项目支出，得1分；缺失一项扣0.2分，扣完为止。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2398"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绩效评价覆盖率</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部门(单位)本年度是否对所管理的所有省级预算一级项目和二级项目开展部门自评，包括括部门预算项目 (不含不可预见费 )、省直专项、省对下转移支付、具有特定用途和具体使用目标的共同事权类般性转移支付;是否对本部门整体开展部门自评。</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完成绩效自评报告并及时提交，得1分；未开展绩效自评，不得分。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0.6</w:t>
            </w:r>
          </w:p>
        </w:tc>
      </w:tr>
      <w:tr>
        <w:tblPrEx>
          <w:tblCellMar>
            <w:top w:w="0" w:type="dxa"/>
            <w:left w:w="108" w:type="dxa"/>
            <w:bottom w:w="0" w:type="dxa"/>
            <w:right w:w="108" w:type="dxa"/>
          </w:tblCellMar>
        </w:tblPrEx>
        <w:trPr>
          <w:trHeight w:val="2262"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评价结果应用率</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 (单位)是否根据部门自评和财政评价结果进行整改，以前年度的评价结果是否在本年度编制预算时进行应用。</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根据评价结果应用情况综合考核酌情给分。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525"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资产管理（2分）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资产管理制度健全性</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部门(单位)为加强资产管理、规范资产管理行为而制定的管理制度是否完善。</w:t>
            </w:r>
            <w:r>
              <w:rPr>
                <w:rFonts w:hint="eastAsia" w:ascii="宋体" w:hAnsi="宋体" w:cs="宋体"/>
                <w:color w:val="000000"/>
                <w:kern w:val="0"/>
                <w:sz w:val="20"/>
                <w:szCs w:val="20"/>
              </w:rPr>
              <w:br w:type="textWrapping"/>
            </w:r>
            <w:r>
              <w:rPr>
                <w:rFonts w:hint="eastAsia" w:ascii="仿宋" w:hAnsi="仿宋" w:eastAsia="仿宋" w:cs="宋体"/>
                <w:color w:val="000000"/>
                <w:kern w:val="0"/>
                <w:sz w:val="20"/>
                <w:szCs w:val="20"/>
              </w:rPr>
              <w:t>①</w:t>
            </w:r>
            <w:r>
              <w:rPr>
                <w:rFonts w:hint="eastAsia" w:ascii="宋体" w:hAnsi="宋体" w:cs="宋体"/>
                <w:color w:val="000000"/>
                <w:kern w:val="0"/>
                <w:sz w:val="20"/>
                <w:szCs w:val="20"/>
              </w:rPr>
              <w:t>是否制定资产配置、使用、处置、收益等相关制度办法。此项 0.5分</w:t>
            </w:r>
            <w:r>
              <w:rPr>
                <w:rFonts w:hint="eastAsia" w:ascii="宋体" w:hAnsi="宋体" w:cs="宋体"/>
                <w:color w:val="000000"/>
                <w:kern w:val="0"/>
                <w:sz w:val="20"/>
                <w:szCs w:val="20"/>
              </w:rPr>
              <w:br w:type="textWrapping"/>
            </w:r>
            <w:r>
              <w:rPr>
                <w:rFonts w:hint="eastAsia" w:ascii="仿宋" w:hAnsi="仿宋" w:eastAsia="仿宋" w:cs="宋体"/>
                <w:color w:val="000000"/>
                <w:kern w:val="0"/>
                <w:sz w:val="20"/>
                <w:szCs w:val="20"/>
              </w:rPr>
              <w:t>②</w:t>
            </w:r>
            <w:r>
              <w:rPr>
                <w:rFonts w:hint="eastAsia" w:ascii="宋体" w:hAnsi="宋体" w:cs="宋体"/>
                <w:color w:val="000000"/>
                <w:kern w:val="0"/>
                <w:sz w:val="20"/>
                <w:szCs w:val="20"/>
              </w:rPr>
              <w:t>是否制定资产管理内部控制制度或操作规程。此项 0.5分</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制定资产配置、使用、处置、收益等相关制度办法。得 0.5分；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制定资产管理内部控制制度或操作规程。的0.5分。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939"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部门(单位)的资产是否保存完整、使用合规、配置合理、处置规范收入及时足额上缴。</w:t>
            </w:r>
            <w:r>
              <w:rPr>
                <w:rFonts w:hint="eastAsia" w:ascii="宋体" w:hAnsi="宋体" w:cs="宋体"/>
                <w:color w:val="000000"/>
                <w:kern w:val="0"/>
                <w:sz w:val="20"/>
                <w:szCs w:val="20"/>
              </w:rPr>
              <w:br w:type="textWrapping"/>
            </w:r>
            <w:r>
              <w:rPr>
                <w:rFonts w:hint="eastAsia" w:ascii="仿宋" w:hAnsi="仿宋" w:eastAsia="仿宋" w:cs="宋体"/>
                <w:color w:val="000000"/>
                <w:kern w:val="0"/>
                <w:sz w:val="20"/>
                <w:szCs w:val="20"/>
              </w:rPr>
              <w:t>①</w:t>
            </w:r>
            <w:r>
              <w:rPr>
                <w:rFonts w:hint="eastAsia" w:ascii="宋体" w:hAnsi="宋体" w:cs="宋体"/>
                <w:color w:val="000000"/>
                <w:kern w:val="0"/>
                <w:sz w:val="20"/>
                <w:szCs w:val="20"/>
              </w:rPr>
              <w:t>是否按批复的预算配置资产，新购资产入库管理是否规范(如编制采购计划、进行采购审核、验收等)。此项 0.4 分</w:t>
            </w:r>
            <w:r>
              <w:rPr>
                <w:rFonts w:hint="eastAsia" w:ascii="宋体" w:hAnsi="宋体" w:cs="宋体"/>
                <w:color w:val="000000"/>
                <w:kern w:val="0"/>
                <w:sz w:val="20"/>
                <w:szCs w:val="20"/>
              </w:rPr>
              <w:br w:type="textWrapping"/>
            </w:r>
            <w:r>
              <w:rPr>
                <w:rFonts w:hint="eastAsia" w:ascii="仿宋" w:hAnsi="仿宋" w:eastAsia="仿宋" w:cs="宋体"/>
                <w:color w:val="000000"/>
                <w:kern w:val="0"/>
                <w:sz w:val="20"/>
                <w:szCs w:val="20"/>
              </w:rPr>
              <w:t>②</w:t>
            </w:r>
            <w:r>
              <w:rPr>
                <w:rFonts w:hint="eastAsia" w:ascii="宋体" w:hAnsi="宋体" w:cs="宋体"/>
                <w:color w:val="000000"/>
                <w:kern w:val="0"/>
                <w:sz w:val="20"/>
                <w:szCs w:val="20"/>
              </w:rPr>
              <w:t>是否定期对现有资产进行盘点、对账，是否账实相符。此项 0.3 分</w:t>
            </w:r>
            <w:r>
              <w:rPr>
                <w:rFonts w:hint="eastAsia" w:ascii="宋体" w:hAnsi="宋体" w:cs="宋体"/>
                <w:color w:val="000000"/>
                <w:kern w:val="0"/>
                <w:sz w:val="20"/>
                <w:szCs w:val="20"/>
              </w:rPr>
              <w:br w:type="textWrapping"/>
            </w:r>
            <w:r>
              <w:rPr>
                <w:rFonts w:hint="eastAsia" w:ascii="仿宋" w:hAnsi="仿宋" w:eastAsia="仿宋" w:cs="宋体"/>
                <w:color w:val="000000"/>
                <w:kern w:val="0"/>
                <w:sz w:val="20"/>
                <w:szCs w:val="20"/>
              </w:rPr>
              <w:t>③</w:t>
            </w:r>
            <w:r>
              <w:rPr>
                <w:rFonts w:hint="eastAsia" w:ascii="宋体" w:hAnsi="宋体" w:cs="宋体"/>
                <w:color w:val="000000"/>
                <w:kern w:val="0"/>
                <w:sz w:val="20"/>
                <w:szCs w:val="20"/>
              </w:rPr>
              <w:t>资产有偿使用和资产处置是否规范(批复、公开等)，所获收入是否及时足额上缴。此项0.3分</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按照内控管理制度有效执行，得1分；未按制度执行或管理记录缺失的，每项扣0.3分，扣完为止。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0.7</w:t>
            </w:r>
          </w:p>
        </w:tc>
      </w:tr>
      <w:tr>
        <w:tblPrEx>
          <w:tblCellMar>
            <w:top w:w="0" w:type="dxa"/>
            <w:left w:w="108" w:type="dxa"/>
            <w:bottom w:w="0" w:type="dxa"/>
            <w:right w:w="108" w:type="dxa"/>
          </w:tblCellMar>
        </w:tblPrEx>
        <w:trPr>
          <w:trHeight w:val="4234"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财务管理（3分）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为加强财务管理、规范财务行为而制定的管理制度是否健全完整，是否已制定或具有相应的财务管理内控制度，包括收入与支出管理、往来资金结算管理、现金及银行存款管理、财务监督管理政府采购管理、绩效管理等;财务管理制度是否合法、合规、完整。</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建立了完善的财务管理制度，收入与支出管理、往来资金结算管理、现金及银行存款管理、财务监督管理政府采购管理、绩效管理等，得1分；制度有缺失或制度存在明显缺陷每项目扣0.25分，扣完为止；无制度不得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288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会计核算规范性</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部门(单位)的财务核算是否符合符合国家财经法规和财务管理制度及专项资金管理有关规定;部门(单位)基础数据信息和会计信息资料是否真实、准确、完整。</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财务核算符合相关制度及管理规定，数据及资料真实、准确、完整得1分，发现一项不规范扣0.2分，扣完为止。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0.4</w:t>
            </w:r>
          </w:p>
        </w:tc>
      </w:tr>
      <w:tr>
        <w:tblPrEx>
          <w:tblCellMar>
            <w:top w:w="0" w:type="dxa"/>
            <w:left w:w="108" w:type="dxa"/>
            <w:bottom w:w="0" w:type="dxa"/>
            <w:right w:w="108" w:type="dxa"/>
          </w:tblCellMar>
        </w:tblPrEx>
        <w:trPr>
          <w:trHeight w:val="3383"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资金使用规范性</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使用预算资金是否符合国家财经法规和财务管理制度以及有关专项资金管理办法的规定;是否存在截留、挤占、挪用、虚列支出等情况;资金拨付是否有完整的审批程序和手续;公用经费是否存在超标准支出情况，项目支出与公用经费是否存在交叉重复。</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资金的拨付审批程序完整、项目的重大开支经集体决策程序、资金实际用途与预算批复相一致、不存在截留、挤占、挪用、虚列支出，以上评价要点全部合规得1分，一项不符合扣0.25分，扣完为止。有重大违规违纪情况的直接计0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200" w:hRule="atLeast"/>
        </w:trPr>
        <w:tc>
          <w:tcPr>
            <w:tcW w:w="11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履职效能（30分）</w:t>
            </w:r>
          </w:p>
        </w:tc>
        <w:tc>
          <w:tcPr>
            <w:tcW w:w="2608"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经济发展（6分）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经济复苏与税收成效</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1、是否通过招商引资及自身经济发展，推动本镇经济复苏；</w:t>
            </w:r>
            <w:r>
              <w:rPr>
                <w:rFonts w:hint="eastAsia" w:ascii="宋体" w:hAnsi="宋体" w:cs="宋体"/>
                <w:kern w:val="0"/>
                <w:sz w:val="20"/>
                <w:szCs w:val="20"/>
              </w:rPr>
              <w:br w:type="textWrapping"/>
            </w:r>
            <w:r>
              <w:rPr>
                <w:rFonts w:hint="eastAsia" w:ascii="宋体" w:hAnsi="宋体" w:cs="宋体"/>
                <w:kern w:val="0"/>
                <w:sz w:val="20"/>
                <w:szCs w:val="20"/>
              </w:rPr>
              <w:t xml:space="preserve">2、税收增长率=（2022年税收收入-2021年税收收入）/2021年税收收入×100%。 </w:t>
            </w:r>
            <w:r>
              <w:rPr>
                <w:rFonts w:hint="eastAsia" w:ascii="宋体" w:hAnsi="宋体" w:cs="宋体"/>
                <w:kern w:val="0"/>
                <w:sz w:val="20"/>
                <w:szCs w:val="20"/>
              </w:rPr>
              <w:br w:type="textWrapping"/>
            </w:r>
            <w:r>
              <w:rPr>
                <w:rFonts w:hint="eastAsia" w:ascii="宋体" w:hAnsi="宋体" w:cs="宋体"/>
                <w:kern w:val="0"/>
                <w:sz w:val="20"/>
                <w:szCs w:val="20"/>
              </w:rPr>
              <w:t xml:space="preserve">3、该项工作是否有效完成 </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lang w:bidi="ar"/>
              </w:rPr>
              <w:t>按指标实际完成情况计算得分。有量化数据考核标准的，根据数据完成比例计算得分。定性指标考核的按完成结果程度（全部100%、基本90%以上、60～80%、60%以下）等级情况酌情给分。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r>
      <w:tr>
        <w:tblPrEx>
          <w:tblCellMar>
            <w:top w:w="0" w:type="dxa"/>
            <w:left w:w="108" w:type="dxa"/>
            <w:bottom w:w="0" w:type="dxa"/>
            <w:right w:w="108" w:type="dxa"/>
          </w:tblCellMar>
        </w:tblPrEx>
        <w:trPr>
          <w:trHeight w:val="1527"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乡村振兴（6分）</w:t>
            </w:r>
          </w:p>
        </w:tc>
        <w:tc>
          <w:tcPr>
            <w:tcW w:w="246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巩固脱贫衔接乡村振兴成效</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1、是否贯彻防止返贫动态监测和帮机制</w:t>
            </w:r>
            <w:r>
              <w:rPr>
                <w:rFonts w:hint="eastAsia" w:ascii="宋体" w:hAnsi="宋体" w:cs="宋体"/>
                <w:kern w:val="0"/>
                <w:sz w:val="20"/>
                <w:szCs w:val="20"/>
              </w:rPr>
              <w:br w:type="textWrapping"/>
            </w:r>
            <w:r>
              <w:rPr>
                <w:rFonts w:hint="eastAsia" w:ascii="宋体" w:hAnsi="宋体" w:cs="宋体"/>
                <w:kern w:val="0"/>
                <w:sz w:val="20"/>
                <w:szCs w:val="20"/>
              </w:rPr>
              <w:t>2、是否有发展乡村振兴项目</w:t>
            </w:r>
            <w:r>
              <w:rPr>
                <w:rFonts w:hint="eastAsia" w:ascii="宋体" w:hAnsi="宋体" w:cs="宋体"/>
                <w:kern w:val="0"/>
                <w:sz w:val="20"/>
                <w:szCs w:val="20"/>
              </w:rPr>
              <w:br w:type="textWrapping"/>
            </w:r>
            <w:r>
              <w:rPr>
                <w:rFonts w:hint="eastAsia" w:ascii="宋体" w:hAnsi="宋体" w:cs="宋体"/>
                <w:kern w:val="0"/>
                <w:sz w:val="20"/>
                <w:szCs w:val="20"/>
              </w:rPr>
              <w:t>3、乡村振兴项目是否快速推进</w:t>
            </w:r>
            <w:r>
              <w:rPr>
                <w:rFonts w:hint="eastAsia" w:ascii="宋体" w:hAnsi="宋体" w:cs="宋体"/>
                <w:kern w:val="0"/>
                <w:sz w:val="20"/>
                <w:szCs w:val="20"/>
              </w:rPr>
              <w:br w:type="textWrapping"/>
            </w:r>
            <w:r>
              <w:rPr>
                <w:rFonts w:hint="eastAsia" w:ascii="宋体" w:hAnsi="宋体" w:cs="宋体"/>
                <w:kern w:val="0"/>
                <w:sz w:val="20"/>
                <w:szCs w:val="20"/>
              </w:rPr>
              <w:t>4.该项工作是否有效完成；</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r>
      <w:tr>
        <w:tblPrEx>
          <w:tblCellMar>
            <w:top w:w="0" w:type="dxa"/>
            <w:left w:w="108" w:type="dxa"/>
            <w:bottom w:w="0" w:type="dxa"/>
            <w:right w:w="108" w:type="dxa"/>
          </w:tblCellMar>
        </w:tblPrEx>
        <w:trPr>
          <w:trHeight w:val="153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疫情防控(6分)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疫情防控成效</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1、疫情防控措施是否落实落地</w:t>
            </w:r>
            <w:r>
              <w:rPr>
                <w:rFonts w:hint="eastAsia" w:ascii="宋体" w:hAnsi="宋体" w:cs="宋体"/>
                <w:kern w:val="0"/>
                <w:sz w:val="20"/>
                <w:szCs w:val="20"/>
              </w:rPr>
              <w:br w:type="textWrapping"/>
            </w:r>
            <w:r>
              <w:rPr>
                <w:rFonts w:hint="eastAsia" w:ascii="宋体" w:hAnsi="宋体" w:cs="宋体"/>
                <w:kern w:val="0"/>
                <w:sz w:val="20"/>
                <w:szCs w:val="20"/>
              </w:rPr>
              <w:t>2、疫情排查是否高效有序</w:t>
            </w:r>
            <w:r>
              <w:rPr>
                <w:rFonts w:hint="eastAsia" w:ascii="宋体" w:hAnsi="宋体" w:cs="宋体"/>
                <w:kern w:val="0"/>
                <w:sz w:val="20"/>
                <w:szCs w:val="20"/>
              </w:rPr>
              <w:br w:type="textWrapping"/>
            </w:r>
            <w:r>
              <w:rPr>
                <w:rFonts w:hint="eastAsia" w:ascii="宋体" w:hAnsi="宋体" w:cs="宋体"/>
                <w:kern w:val="0"/>
                <w:sz w:val="20"/>
                <w:szCs w:val="20"/>
              </w:rPr>
              <w:t>3、疫苗接种是否高效有序</w:t>
            </w:r>
            <w:r>
              <w:rPr>
                <w:rFonts w:hint="eastAsia" w:ascii="宋体" w:hAnsi="宋体" w:cs="宋体"/>
                <w:kern w:val="0"/>
                <w:sz w:val="20"/>
                <w:szCs w:val="20"/>
              </w:rPr>
              <w:br w:type="textWrapping"/>
            </w:r>
            <w:r>
              <w:rPr>
                <w:rFonts w:hint="eastAsia" w:ascii="宋体" w:hAnsi="宋体" w:cs="宋体"/>
                <w:kern w:val="0"/>
                <w:sz w:val="20"/>
                <w:szCs w:val="20"/>
              </w:rPr>
              <w:t>1、该项工作是否有效完成</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r>
      <w:tr>
        <w:tblPrEx>
          <w:tblCellMar>
            <w:top w:w="0" w:type="dxa"/>
            <w:left w:w="108" w:type="dxa"/>
            <w:bottom w:w="0" w:type="dxa"/>
            <w:right w:w="108" w:type="dxa"/>
          </w:tblCellMar>
        </w:tblPrEx>
        <w:trPr>
          <w:trHeight w:val="1966"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社会治理（6分）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社会治理成效</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1、镇村换届是否顺利</w:t>
            </w:r>
            <w:r>
              <w:rPr>
                <w:rFonts w:hint="eastAsia" w:ascii="宋体" w:hAnsi="宋体" w:cs="宋体"/>
                <w:kern w:val="0"/>
                <w:sz w:val="20"/>
                <w:szCs w:val="20"/>
              </w:rPr>
              <w:br w:type="textWrapping"/>
            </w:r>
            <w:r>
              <w:rPr>
                <w:rFonts w:hint="eastAsia" w:ascii="宋体" w:hAnsi="宋体" w:cs="宋体"/>
                <w:kern w:val="0"/>
                <w:sz w:val="20"/>
                <w:szCs w:val="20"/>
              </w:rPr>
              <w:t>2、乡镇治理成效是否显著</w:t>
            </w:r>
            <w:r>
              <w:rPr>
                <w:rFonts w:hint="eastAsia" w:ascii="宋体" w:hAnsi="宋体" w:cs="宋体"/>
                <w:kern w:val="0"/>
                <w:sz w:val="20"/>
                <w:szCs w:val="20"/>
              </w:rPr>
              <w:br w:type="textWrapping"/>
            </w:r>
            <w:r>
              <w:rPr>
                <w:rFonts w:hint="eastAsia" w:ascii="宋体" w:hAnsi="宋体" w:cs="宋体"/>
                <w:kern w:val="0"/>
                <w:sz w:val="20"/>
                <w:szCs w:val="20"/>
              </w:rPr>
              <w:t>3、文明乡镇创建有何成果</w:t>
            </w:r>
            <w:r>
              <w:rPr>
                <w:rFonts w:hint="eastAsia" w:ascii="宋体" w:hAnsi="宋体" w:cs="宋体"/>
                <w:kern w:val="0"/>
                <w:sz w:val="20"/>
                <w:szCs w:val="20"/>
              </w:rPr>
              <w:br w:type="textWrapping"/>
            </w:r>
            <w:r>
              <w:rPr>
                <w:rFonts w:hint="eastAsia" w:ascii="宋体" w:hAnsi="宋体" w:cs="宋体"/>
                <w:kern w:val="0"/>
                <w:sz w:val="20"/>
                <w:szCs w:val="20"/>
              </w:rPr>
              <w:t>4、综治维稳是否有效推进</w:t>
            </w:r>
            <w:r>
              <w:rPr>
                <w:rFonts w:hint="eastAsia" w:ascii="宋体" w:hAnsi="宋体" w:cs="宋体"/>
                <w:kern w:val="0"/>
                <w:sz w:val="20"/>
                <w:szCs w:val="20"/>
              </w:rPr>
              <w:br w:type="textWrapping"/>
            </w:r>
            <w:r>
              <w:rPr>
                <w:rFonts w:hint="eastAsia" w:ascii="宋体" w:hAnsi="宋体" w:cs="宋体"/>
                <w:kern w:val="0"/>
                <w:sz w:val="20"/>
                <w:szCs w:val="20"/>
              </w:rPr>
              <w:t>5、该项工作是否有效完成</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r>
      <w:tr>
        <w:tblPrEx>
          <w:tblCellMar>
            <w:top w:w="0" w:type="dxa"/>
            <w:left w:w="108" w:type="dxa"/>
            <w:bottom w:w="0" w:type="dxa"/>
            <w:right w:w="108" w:type="dxa"/>
          </w:tblCellMar>
        </w:tblPrEx>
        <w:trPr>
          <w:trHeight w:val="72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生态建设（6分）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生态建设成效</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1、部门在生态建设方面有何作为</w:t>
            </w:r>
            <w:r>
              <w:rPr>
                <w:rFonts w:hint="eastAsia" w:ascii="宋体" w:hAnsi="宋体" w:cs="宋体"/>
                <w:kern w:val="0"/>
                <w:sz w:val="20"/>
                <w:szCs w:val="20"/>
              </w:rPr>
              <w:br w:type="textWrapping"/>
            </w:r>
            <w:r>
              <w:rPr>
                <w:rFonts w:hint="eastAsia" w:ascii="宋体" w:hAnsi="宋体" w:cs="宋体"/>
                <w:kern w:val="0"/>
                <w:sz w:val="20"/>
                <w:szCs w:val="20"/>
              </w:rPr>
              <w:t>2、生态建设是否有效改善了人居及生态环境</w:t>
            </w:r>
            <w:r>
              <w:rPr>
                <w:rFonts w:hint="eastAsia" w:ascii="宋体" w:hAnsi="宋体" w:cs="宋体"/>
                <w:kern w:val="0"/>
                <w:sz w:val="20"/>
                <w:szCs w:val="20"/>
              </w:rPr>
              <w:br w:type="textWrapping"/>
            </w:r>
            <w:r>
              <w:rPr>
                <w:rFonts w:hint="eastAsia" w:ascii="宋体" w:hAnsi="宋体" w:cs="宋体"/>
                <w:kern w:val="0"/>
                <w:sz w:val="20"/>
                <w:szCs w:val="20"/>
              </w:rPr>
              <w:t>3.该项工作是否有效完成</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r>
      <w:tr>
        <w:tblPrEx>
          <w:tblCellMar>
            <w:top w:w="0" w:type="dxa"/>
            <w:left w:w="108" w:type="dxa"/>
            <w:bottom w:w="0" w:type="dxa"/>
            <w:right w:w="108" w:type="dxa"/>
          </w:tblCellMar>
        </w:tblPrEx>
        <w:trPr>
          <w:trHeight w:val="874" w:hRule="atLeast"/>
        </w:trPr>
        <w:tc>
          <w:tcPr>
            <w:tcW w:w="11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社会效应（30分）</w:t>
            </w:r>
          </w:p>
        </w:tc>
        <w:tc>
          <w:tcPr>
            <w:tcW w:w="260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经济效益（10分）</w:t>
            </w:r>
          </w:p>
        </w:tc>
        <w:tc>
          <w:tcPr>
            <w:tcW w:w="24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促进经济发展</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部门履职对行业经济发展带来的直接与间接影响。</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按指标实际完成情况计算得分。有量化数据考核标准的，根据数据完成比例计算得分。定性指标考核的按完成结果程度（全部100%、基本90%以上、60～80%、60%以下）等级情况酌情给分。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r>
      <w:tr>
        <w:tblPrEx>
          <w:tblCellMar>
            <w:top w:w="0" w:type="dxa"/>
            <w:left w:w="108" w:type="dxa"/>
            <w:bottom w:w="0" w:type="dxa"/>
            <w:right w:w="108" w:type="dxa"/>
          </w:tblCellMar>
        </w:tblPrEx>
        <w:trPr>
          <w:trHeight w:val="92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社会效益（10分）</w:t>
            </w:r>
          </w:p>
        </w:tc>
        <w:tc>
          <w:tcPr>
            <w:tcW w:w="24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优化社会事业</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部门履职对当地社会带来的直接与间接影响。</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91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生态效益（10分）</w:t>
            </w:r>
          </w:p>
        </w:tc>
        <w:tc>
          <w:tcPr>
            <w:tcW w:w="24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改善人居环境与生态环境</w:t>
            </w:r>
          </w:p>
        </w:tc>
        <w:tc>
          <w:tcPr>
            <w:tcW w:w="6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部门履职对当地生态环境带来的直接与间接影响。</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r>
      <w:tr>
        <w:tblPrEx>
          <w:tblCellMar>
            <w:top w:w="0" w:type="dxa"/>
            <w:left w:w="108" w:type="dxa"/>
            <w:bottom w:w="0" w:type="dxa"/>
            <w:right w:w="108" w:type="dxa"/>
          </w:tblCellMar>
        </w:tblPrEx>
        <w:trPr>
          <w:trHeight w:val="1920" w:hRule="atLeast"/>
        </w:trPr>
        <w:tc>
          <w:tcPr>
            <w:tcW w:w="11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可持续发展能力（6分）</w:t>
            </w:r>
          </w:p>
        </w:tc>
        <w:tc>
          <w:tcPr>
            <w:tcW w:w="260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体制机制改革（2分）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服务体制改革成效</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服务型政府建设情况，部门服务社会化、服务市场等情况。</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lang w:bidi="ar"/>
              </w:rPr>
              <w:t>对部门整体履职提升影响明显得1分，良好影响的得0.5分，无影响得0分。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2391"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行政管理体制改革成效</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机构、职能、权力、责任、程序法定化，明确事权和相应的支出责任等情况。</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lang w:bidi="ar"/>
              </w:rPr>
              <w:t>体制机制创新改革对部门整体履职提升影响明显得1分，良好影响的得0.7分，有所影响的得0.3分。无影响或者体制机制无创新改革得0分。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w:t>
            </w:r>
          </w:p>
        </w:tc>
      </w:tr>
      <w:tr>
        <w:tblPrEx>
          <w:tblCellMar>
            <w:top w:w="0" w:type="dxa"/>
            <w:left w:w="108" w:type="dxa"/>
            <w:bottom w:w="0" w:type="dxa"/>
            <w:right w:w="108" w:type="dxa"/>
          </w:tblCellMar>
        </w:tblPrEx>
        <w:trPr>
          <w:trHeight w:val="1702"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人才支撑（2分）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业务学习与培训完成率</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部门(单位)为履行职责而实际完成的业务学习与培训数与计划工作数的比率。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业务学习与培训完成率=(实际完成的业务学习与培训数/计划业务学习与培训数*100%。</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得分=业务学习与培训完成率 * 分值。</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w:t>
            </w:r>
          </w:p>
        </w:tc>
      </w:tr>
      <w:tr>
        <w:tblPrEx>
          <w:tblCellMar>
            <w:top w:w="0" w:type="dxa"/>
            <w:left w:w="108" w:type="dxa"/>
            <w:bottom w:w="0" w:type="dxa"/>
            <w:right w:w="108" w:type="dxa"/>
          </w:tblCellMar>
        </w:tblPrEx>
        <w:trPr>
          <w:trHeight w:val="2252"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干部队伍体系建设规划情况</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部门(单位)干部队伍建设是否具备科学合理的制度支撑，人才储备规划是否符合本单位发展需求。</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设置了干部队伍建设制度或相关规划的，的0.5分；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否则不得分。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w:t>
            </w:r>
          </w:p>
        </w:tc>
      </w:tr>
      <w:tr>
        <w:tblPrEx>
          <w:tblCellMar>
            <w:top w:w="0" w:type="dxa"/>
            <w:left w:w="108" w:type="dxa"/>
            <w:bottom w:w="0" w:type="dxa"/>
            <w:right w:w="108" w:type="dxa"/>
          </w:tblCellMar>
        </w:tblPrEx>
        <w:trPr>
          <w:trHeight w:val="2816"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高学历、高层次人才储备率</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①</w:t>
            </w:r>
            <w:r>
              <w:rPr>
                <w:rFonts w:hint="eastAsia" w:ascii="宋体" w:hAnsi="宋体" w:cs="宋体"/>
                <w:color w:val="000000"/>
                <w:kern w:val="0"/>
                <w:sz w:val="20"/>
                <w:szCs w:val="20"/>
              </w:rPr>
              <w:t>高层次人才培养:高层次领军人才培养、创新团队建设工作开展情况和成效，是否符合人才发展规划的要求。</w:t>
            </w:r>
            <w:r>
              <w:rPr>
                <w:rFonts w:hint="eastAsia" w:ascii="宋体" w:hAnsi="宋体" w:cs="宋体"/>
                <w:color w:val="000000"/>
                <w:kern w:val="0"/>
                <w:sz w:val="20"/>
                <w:szCs w:val="20"/>
              </w:rPr>
              <w:br w:type="textWrapping"/>
            </w:r>
            <w:r>
              <w:rPr>
                <w:rFonts w:hint="eastAsia" w:ascii="仿宋" w:hAnsi="仿宋" w:eastAsia="仿宋" w:cs="宋体"/>
                <w:color w:val="000000"/>
                <w:kern w:val="0"/>
                <w:sz w:val="20"/>
                <w:szCs w:val="20"/>
              </w:rPr>
              <w:t>②</w:t>
            </w:r>
            <w:r>
              <w:rPr>
                <w:rFonts w:hint="eastAsia" w:ascii="宋体" w:hAnsi="宋体" w:cs="宋体"/>
                <w:color w:val="000000"/>
                <w:kern w:val="0"/>
                <w:sz w:val="20"/>
                <w:szCs w:val="20"/>
              </w:rPr>
              <w:t>高学历人才储备:大学本科人才数量及比率是否符合人才发展规划目标。</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每年干部培训超过1次且全员覆盖得0.5分，否则不得分；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在职部门高学历人才占比达60%以上的，得0.5分；在职部门高学历人才占比达30%以上的，得0.3分；在职部门高学历人才占比低于30%的，得0分。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w:t>
            </w:r>
          </w:p>
        </w:tc>
      </w:tr>
      <w:tr>
        <w:tblPrEx>
          <w:tblCellMar>
            <w:top w:w="0" w:type="dxa"/>
            <w:left w:w="108" w:type="dxa"/>
            <w:bottom w:w="0" w:type="dxa"/>
            <w:right w:w="108" w:type="dxa"/>
          </w:tblCellMar>
        </w:tblPrEx>
        <w:trPr>
          <w:trHeight w:val="2275"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科技支撑（2分）</w:t>
            </w:r>
          </w:p>
        </w:tc>
        <w:tc>
          <w:tcPr>
            <w:tcW w:w="2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信息化建设情况</w:t>
            </w:r>
          </w:p>
        </w:tc>
        <w:tc>
          <w:tcPr>
            <w:tcW w:w="6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部门(单位)是否充分运用信息化手段提升工作效率及管理效能。</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信息化在业务中应用的比率80%以上，得1分；应用的比率60%以上，得0.5分；应用的比率60%以下，得0分；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2880"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4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新技术应用情况</w:t>
            </w:r>
          </w:p>
        </w:tc>
        <w:tc>
          <w:tcPr>
            <w:tcW w:w="6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3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政府、行业管理新技术在整个部门的使用情况</w:t>
            </w:r>
          </w:p>
        </w:tc>
        <w:tc>
          <w:tcPr>
            <w:tcW w:w="121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2409"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lang w:bidi="ar"/>
              </w:rPr>
              <w:t>新技术创新有效应用的比率80%以上，得1分；应用的比率60%以上，得0.5分；应用的比率60%以下，得0分；</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w:t>
            </w:r>
          </w:p>
        </w:tc>
      </w:tr>
      <w:tr>
        <w:tblPrEx>
          <w:tblCellMar>
            <w:top w:w="0" w:type="dxa"/>
            <w:left w:w="108" w:type="dxa"/>
            <w:bottom w:w="0" w:type="dxa"/>
            <w:right w:w="108" w:type="dxa"/>
          </w:tblCellMar>
        </w:tblPrEx>
        <w:trPr>
          <w:trHeight w:val="1541" w:hRule="atLeast"/>
        </w:trPr>
        <w:tc>
          <w:tcPr>
            <w:tcW w:w="11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服务对象满意度（4分）</w:t>
            </w:r>
          </w:p>
        </w:tc>
        <w:tc>
          <w:tcPr>
            <w:tcW w:w="26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服务对象满意度（2分）</w:t>
            </w:r>
          </w:p>
        </w:tc>
        <w:tc>
          <w:tcPr>
            <w:tcW w:w="24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部门服务的外部对象对部门履职效果的认可度</w:t>
            </w:r>
          </w:p>
        </w:tc>
        <w:tc>
          <w:tcPr>
            <w:tcW w:w="6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43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服务对象以及社会公众对部门履职效果的认可程度。</w:t>
            </w:r>
          </w:p>
        </w:tc>
        <w:tc>
          <w:tcPr>
            <w:tcW w:w="121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满意度≥90%，得满分，每减少1%，扣2%的权重分，扣完为止</w:t>
            </w:r>
          </w:p>
        </w:tc>
        <w:tc>
          <w:tcPr>
            <w:tcW w:w="7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1563" w:hRule="atLeast"/>
        </w:trPr>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608" w:type="dxa"/>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联系部门满意度（2分）</w:t>
            </w:r>
          </w:p>
        </w:tc>
        <w:tc>
          <w:tcPr>
            <w:tcW w:w="24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部门内部相关人员对部门履职效果的认可度</w:t>
            </w:r>
          </w:p>
        </w:tc>
        <w:tc>
          <w:tcPr>
            <w:tcW w:w="618" w:type="dxa"/>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43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19"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24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39" w:type="dxa"/>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834" w:hRule="atLeast"/>
        </w:trPr>
        <w:tc>
          <w:tcPr>
            <w:tcW w:w="619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6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43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4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73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86.65</w:t>
            </w:r>
          </w:p>
        </w:tc>
      </w:tr>
    </w:tbl>
    <w:p/>
    <w:p>
      <w:pPr>
        <w:rPr>
          <w:rFonts w:ascii="黑体" w:hAnsi="黑体" w:eastAsia="黑体" w:cs="黑体"/>
          <w:sz w:val="32"/>
          <w:szCs w:val="32"/>
        </w:rPr>
        <w:sectPr>
          <w:pgSz w:w="16838" w:h="11906" w:orient="landscape"/>
          <w:pgMar w:top="851" w:right="851" w:bottom="851" w:left="851" w:header="851" w:footer="992" w:gutter="0"/>
          <w:cols w:space="0" w:num="1"/>
          <w:docGrid w:type="lines" w:linePitch="315" w:charSpace="0"/>
        </w:sectPr>
      </w:pPr>
      <w:r>
        <w:rPr>
          <w:rFonts w:hint="eastAsia" w:ascii="黑体" w:hAnsi="黑体" w:eastAsia="黑体" w:cs="黑体"/>
          <w:sz w:val="32"/>
          <w:szCs w:val="32"/>
        </w:rPr>
        <w:br w:type="page"/>
      </w:r>
    </w:p>
    <w:p>
      <w:pPr>
        <w:pStyle w:val="2"/>
      </w:pPr>
    </w:p>
    <w:p>
      <w:pPr>
        <w:pStyle w:val="2"/>
        <w:spacing w:line="360" w:lineRule="auto"/>
        <w:ind w:firstLine="640" w:firstLineChars="200"/>
        <w:outlineLvl w:val="0"/>
        <w:rPr>
          <w:rFonts w:ascii="黑体" w:hAnsi="黑体" w:eastAsia="黑体" w:cs="黑体"/>
          <w:sz w:val="32"/>
          <w:szCs w:val="32"/>
        </w:rPr>
      </w:pPr>
      <w:bookmarkStart w:id="5" w:name="_Toc12295"/>
      <w:r>
        <w:rPr>
          <w:rFonts w:hint="eastAsia" w:ascii="黑体" w:hAnsi="黑体" w:eastAsia="黑体" w:cs="黑体"/>
          <w:sz w:val="32"/>
          <w:szCs w:val="32"/>
        </w:rPr>
        <w:t>二、佐证材料</w:t>
      </w:r>
      <w:bookmarkEnd w:id="5"/>
    </w:p>
    <w:p>
      <w:pPr>
        <w:pStyle w:val="2"/>
        <w:spacing w:line="560" w:lineRule="exact"/>
        <w:ind w:firstLine="643" w:firstLineChars="200"/>
        <w:outlineLvl w:val="1"/>
        <w:rPr>
          <w:rFonts w:ascii="仿宋_GB2312" w:hAnsi="Times New Roman" w:eastAsia="仿宋_GB2312"/>
          <w:b/>
          <w:bCs/>
          <w:sz w:val="32"/>
          <w:szCs w:val="32"/>
        </w:rPr>
      </w:pPr>
      <w:bookmarkStart w:id="6" w:name="_Toc14161"/>
      <w:r>
        <w:rPr>
          <w:rFonts w:hint="eastAsia" w:ascii="楷体_GB2312" w:hAnsi="楷体_GB2312" w:eastAsia="楷体_GB2312" w:cs="楷体_GB2312"/>
          <w:b/>
          <w:bCs/>
          <w:sz w:val="32"/>
          <w:szCs w:val="32"/>
        </w:rPr>
        <w:t>（一）基本情况</w:t>
      </w:r>
      <w:bookmarkEnd w:id="6"/>
    </w:p>
    <w:p>
      <w:pPr>
        <w:spacing w:line="560" w:lineRule="exact"/>
        <w:ind w:firstLine="640" w:firstLineChars="200"/>
        <w:outlineLvl w:val="2"/>
        <w:rPr>
          <w:rFonts w:ascii="仿宋_GB2312" w:hAnsi="仿宋" w:eastAsia="仿宋_GB2312"/>
          <w:sz w:val="32"/>
          <w:szCs w:val="32"/>
        </w:rPr>
      </w:pPr>
      <w:bookmarkStart w:id="7" w:name="_Toc111133036"/>
      <w:bookmarkStart w:id="8" w:name="_Toc26354"/>
      <w:bookmarkStart w:id="9" w:name="_Toc11841"/>
      <w:bookmarkStart w:id="10" w:name="_Toc22279"/>
      <w:r>
        <w:rPr>
          <w:rFonts w:hint="eastAsia" w:ascii="仿宋_GB2312" w:hAnsi="Times New Roman" w:eastAsia="仿宋_GB2312"/>
          <w:sz w:val="32"/>
          <w:szCs w:val="32"/>
        </w:rPr>
        <w:t>1.</w:t>
      </w:r>
      <w:r>
        <w:rPr>
          <w:rFonts w:hint="eastAsia" w:ascii="仿宋_GB2312" w:hAnsi="仿宋" w:eastAsia="仿宋_GB2312"/>
          <w:sz w:val="32"/>
          <w:szCs w:val="32"/>
        </w:rPr>
        <w:t>部门整体预算安排情况</w:t>
      </w:r>
      <w:bookmarkEnd w:id="7"/>
      <w:bookmarkEnd w:id="8"/>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2022年石南镇人民政府部门年初预算数为774.84万元，调整预算数836.7万元。其中，人员经费年初预算数661.06万元，调整预算数735.76万元；公用经费年初预算数113.78万元，调整预算数100.94万元；未安排项目支出预算。</w:t>
      </w:r>
    </w:p>
    <w:p>
      <w:pPr>
        <w:spacing w:line="560" w:lineRule="exact"/>
        <w:ind w:firstLine="640" w:firstLineChars="200"/>
        <w:outlineLvl w:val="2"/>
        <w:rPr>
          <w:rFonts w:ascii="仿宋_GB2312" w:hAnsi="仿宋" w:eastAsia="仿宋_GB2312"/>
          <w:sz w:val="32"/>
          <w:szCs w:val="32"/>
        </w:rPr>
      </w:pPr>
      <w:bookmarkStart w:id="11" w:name="_Toc8581"/>
      <w:r>
        <w:rPr>
          <w:rFonts w:hint="eastAsia" w:ascii="仿宋_GB2312" w:hAnsi="仿宋" w:eastAsia="仿宋_GB2312"/>
          <w:sz w:val="32"/>
          <w:szCs w:val="32"/>
        </w:rPr>
        <w:t>2.部门整体决算支出情况</w:t>
      </w:r>
      <w:bookmarkEnd w:id="11"/>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2022年石南镇人民政府部门决算数为836.7万元，其中人员经费735.76万元，公用经费100.94万元，项目支出0元，年度无结转结余。</w:t>
      </w:r>
    </w:p>
    <w:p>
      <w:pPr>
        <w:spacing w:line="560" w:lineRule="exact"/>
        <w:ind w:firstLine="640" w:firstLineChars="200"/>
        <w:outlineLvl w:val="2"/>
        <w:rPr>
          <w:rFonts w:ascii="仿宋_GB2312" w:hAnsi="Times New Roman" w:eastAsia="仿宋_GB2312"/>
          <w:sz w:val="32"/>
          <w:szCs w:val="32"/>
        </w:rPr>
      </w:pPr>
      <w:bookmarkStart w:id="12" w:name="_Toc111133037"/>
      <w:bookmarkStart w:id="13" w:name="_Toc1945"/>
      <w:r>
        <w:rPr>
          <w:rFonts w:hint="eastAsia" w:ascii="仿宋_GB2312" w:hAnsi="Times New Roman" w:eastAsia="仿宋_GB2312"/>
          <w:sz w:val="32"/>
          <w:szCs w:val="32"/>
        </w:rPr>
        <w:t>3.县委县政府布置的重点工作</w:t>
      </w:r>
      <w:bookmarkEnd w:id="12"/>
      <w:bookmarkEnd w:id="13"/>
    </w:p>
    <w:bookmarkEnd w:id="9"/>
    <w:bookmarkEnd w:id="10"/>
    <w:p>
      <w:pPr>
        <w:spacing w:line="560" w:lineRule="exact"/>
        <w:ind w:firstLine="640" w:firstLineChars="200"/>
        <w:rPr>
          <w:rFonts w:ascii="仿宋_GB2312" w:hAnsi="仿宋" w:eastAsia="仿宋_GB2312"/>
          <w:sz w:val="32"/>
          <w:szCs w:val="32"/>
        </w:rPr>
      </w:pPr>
      <w:bookmarkStart w:id="14" w:name="_Toc32105"/>
      <w:r>
        <w:rPr>
          <w:rFonts w:hint="eastAsia" w:ascii="仿宋_GB2312" w:hAnsi="仿宋" w:eastAsia="仿宋_GB2312"/>
          <w:sz w:val="32"/>
          <w:szCs w:val="32"/>
        </w:rPr>
        <w:t>统筹推进疫情防控和经济社会发展，巩固拓展脱贫成果，加大乡村振兴建设力度，加大项目推进力度，加大乡村旅游发展力度，加大民生保障力度，加大社会治安综合治理力度。群众幸福指数不断提升；平安建设持续深化，社会更加和谐稳定。</w:t>
      </w:r>
    </w:p>
    <w:p>
      <w:pPr>
        <w:pStyle w:val="2"/>
        <w:spacing w:line="560" w:lineRule="exact"/>
        <w:ind w:firstLine="640" w:firstLineChars="200"/>
        <w:outlineLvl w:val="2"/>
        <w:rPr>
          <w:rFonts w:ascii="仿宋_GB2312" w:hAnsi="Times New Roman" w:eastAsia="仿宋_GB2312"/>
          <w:sz w:val="32"/>
          <w:szCs w:val="32"/>
        </w:rPr>
      </w:pPr>
      <w:r>
        <w:rPr>
          <w:rFonts w:hint="eastAsia" w:ascii="仿宋_GB2312" w:hAnsi="Times New Roman" w:eastAsia="仿宋_GB2312"/>
          <w:sz w:val="32"/>
          <w:szCs w:val="32"/>
        </w:rPr>
        <w:t>4.2022年石南镇整体绩效目标。</w:t>
      </w:r>
      <w:bookmarkEnd w:id="14"/>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（1）加大乡村振兴建设力度。认真落实县委、县政府关于脱贫攻坚与乡村振兴有效衔接的具体举措，巩固脱贫攻坚成果。</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（2）加大项目推进力度。坚持把项目建设作为推动发展的“牛鼻子”。</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（3）加大乡村旅游发展力度。立足石南交通优势，围绕“赛锣赛亮”这块招牌，加强旅游营销策划。</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（4）加大社会治安综合治理力度。全面防范化解各类风险，坚决防范遏制重特大事故发生。</w:t>
      </w:r>
    </w:p>
    <w:p>
      <w:pPr>
        <w:pStyle w:val="2"/>
        <w:spacing w:line="560" w:lineRule="exact"/>
        <w:ind w:firstLine="643" w:firstLineChars="200"/>
        <w:outlineLvl w:val="1"/>
        <w:rPr>
          <w:rFonts w:ascii="楷体_GB2312" w:hAnsi="楷体_GB2312" w:eastAsia="楷体_GB2312" w:cs="楷体_GB2312"/>
          <w:b/>
          <w:bCs/>
          <w:sz w:val="32"/>
          <w:szCs w:val="32"/>
        </w:rPr>
      </w:pPr>
      <w:bookmarkStart w:id="15" w:name="_Toc10114"/>
      <w:r>
        <w:rPr>
          <w:rFonts w:hint="eastAsia" w:ascii="楷体_GB2312" w:hAnsi="楷体_GB2312" w:eastAsia="楷体_GB2312" w:cs="楷体_GB2312"/>
          <w:b/>
          <w:bCs/>
          <w:sz w:val="32"/>
          <w:szCs w:val="32"/>
        </w:rPr>
        <w:t>（二）绩效评价工作开展情况</w:t>
      </w:r>
      <w:bookmarkEnd w:id="15"/>
    </w:p>
    <w:p>
      <w:pPr>
        <w:pStyle w:val="2"/>
        <w:spacing w:line="560" w:lineRule="exact"/>
        <w:ind w:firstLine="640" w:firstLineChars="200"/>
        <w:outlineLvl w:val="2"/>
        <w:rPr>
          <w:rFonts w:ascii="仿宋_GB2312" w:hAnsi="Times New Roman" w:eastAsia="仿宋_GB2312"/>
          <w:sz w:val="32"/>
          <w:szCs w:val="32"/>
        </w:rPr>
      </w:pPr>
      <w:bookmarkStart w:id="16" w:name="_Toc15246"/>
      <w:r>
        <w:rPr>
          <w:rFonts w:hint="eastAsia" w:ascii="仿宋_GB2312" w:hAnsi="Times New Roman" w:eastAsia="仿宋_GB2312"/>
          <w:sz w:val="32"/>
          <w:szCs w:val="32"/>
        </w:rPr>
        <w:t>1.评价目的</w:t>
      </w:r>
      <w:bookmarkEnd w:id="16"/>
    </w:p>
    <w:p>
      <w:pPr>
        <w:pStyle w:val="2"/>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全面了解部门整体预算资金投入计划执行结果、资金管理与使用，绩效产出与效果，切实提高财政资源配置效率与使用效益。考核财政支出与实现绩效目标的匹配性，完善资金支出绩效目标管理，确保绩效目标设定的科学性与合理性。同时促使资金使用单位树立绩效管理意识及风险控制意识，以问题为导向，进一步完善项目资金管理，提高财政资金管理最优化、效益最大化。</w:t>
      </w:r>
    </w:p>
    <w:p>
      <w:pPr>
        <w:spacing w:line="560" w:lineRule="exact"/>
        <w:ind w:firstLine="640" w:firstLineChars="200"/>
        <w:outlineLvl w:val="2"/>
        <w:rPr>
          <w:rFonts w:ascii="仿宋_GB2312" w:hAnsi="仿宋_GB2312" w:eastAsia="仿宋_GB2312" w:cs="仿宋_GB2312"/>
          <w:bCs/>
          <w:sz w:val="32"/>
          <w:szCs w:val="32"/>
        </w:rPr>
      </w:pPr>
      <w:bookmarkStart w:id="17" w:name="_Toc27029"/>
      <w:r>
        <w:rPr>
          <w:rFonts w:hint="eastAsia" w:ascii="仿宋_GB2312" w:hAnsi="仿宋_GB2312" w:eastAsia="仿宋_GB2312" w:cs="仿宋_GB2312"/>
          <w:bCs/>
          <w:sz w:val="32"/>
          <w:szCs w:val="32"/>
        </w:rPr>
        <w:t>2.</w:t>
      </w:r>
      <w:bookmarkStart w:id="18" w:name="_Toc6253"/>
      <w:r>
        <w:rPr>
          <w:rFonts w:hint="eastAsia" w:ascii="仿宋_GB2312" w:hAnsi="仿宋_GB2312" w:eastAsia="仿宋_GB2312" w:cs="仿宋_GB2312"/>
          <w:bCs/>
          <w:sz w:val="32"/>
          <w:szCs w:val="32"/>
        </w:rPr>
        <w:t>评价对象及范围</w:t>
      </w:r>
      <w:bookmarkEnd w:id="17"/>
      <w:bookmarkEnd w:id="18"/>
    </w:p>
    <w:p>
      <w:pPr>
        <w:spacing w:line="560" w:lineRule="exact"/>
        <w:ind w:firstLine="640" w:firstLineChars="200"/>
        <w:rPr>
          <w:rFonts w:ascii="仿宋_GB2312" w:hAnsi="仿宋_GB2312" w:eastAsia="仿宋_GB2312" w:cs="仿宋_GB2312"/>
          <w:bCs/>
          <w:sz w:val="32"/>
          <w:szCs w:val="32"/>
        </w:rPr>
      </w:pPr>
      <w:bookmarkStart w:id="19" w:name="_Toc19394"/>
      <w:r>
        <w:rPr>
          <w:rFonts w:hint="eastAsia" w:ascii="仿宋_GB2312" w:hAnsi="仿宋" w:eastAsia="仿宋_GB2312"/>
          <w:bCs/>
          <w:sz w:val="32"/>
          <w:szCs w:val="32"/>
        </w:rPr>
        <w:t>本次评价对象为</w:t>
      </w:r>
      <w:r>
        <w:rPr>
          <w:rFonts w:hint="eastAsia" w:ascii="仿宋_GB2312" w:hAnsi="仿宋_GB2312" w:eastAsia="仿宋_GB2312" w:cs="仿宋_GB2312"/>
          <w:bCs/>
          <w:sz w:val="32"/>
          <w:szCs w:val="32"/>
        </w:rPr>
        <w:t>石南镇人民政府2022年部门整体支出</w:t>
      </w:r>
      <w:r>
        <w:rPr>
          <w:rFonts w:hint="eastAsia" w:ascii="仿宋_GB2312" w:hAnsi="仿宋" w:eastAsia="仿宋_GB2312"/>
          <w:bCs/>
          <w:sz w:val="32"/>
          <w:szCs w:val="32"/>
        </w:rPr>
        <w:t>836.7</w:t>
      </w:r>
      <w:r>
        <w:rPr>
          <w:rFonts w:hint="eastAsia" w:ascii="仿宋_GB2312" w:hAnsi="仿宋_GB2312" w:eastAsia="仿宋_GB2312" w:cs="仿宋_GB2312"/>
          <w:bCs/>
          <w:sz w:val="32"/>
          <w:szCs w:val="32"/>
        </w:rPr>
        <w:t>万元的绩效。</w:t>
      </w:r>
      <w:bookmarkEnd w:id="19"/>
    </w:p>
    <w:p>
      <w:pPr>
        <w:spacing w:line="560" w:lineRule="exact"/>
        <w:ind w:firstLine="640" w:firstLineChars="200"/>
        <w:outlineLvl w:val="2"/>
        <w:rPr>
          <w:rFonts w:ascii="仿宋_GB2312" w:hAnsi="仿宋" w:eastAsia="仿宋_GB2312"/>
          <w:bCs/>
          <w:sz w:val="32"/>
          <w:szCs w:val="32"/>
        </w:rPr>
      </w:pPr>
      <w:bookmarkStart w:id="20" w:name="_Toc32581"/>
      <w:bookmarkStart w:id="21" w:name="_Toc32107"/>
      <w:bookmarkStart w:id="22" w:name="_Toc28112"/>
      <w:r>
        <w:rPr>
          <w:rFonts w:hint="eastAsia" w:ascii="仿宋_GB2312" w:hAnsi="仿宋" w:eastAsia="仿宋_GB2312"/>
          <w:bCs/>
          <w:sz w:val="32"/>
          <w:szCs w:val="32"/>
        </w:rPr>
        <w:t>3.评价内容</w:t>
      </w:r>
      <w:bookmarkEnd w:id="20"/>
      <w:bookmarkEnd w:id="21"/>
    </w:p>
    <w:bookmarkEnd w:id="22"/>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从部门整体运行成本、管理效率、履职效能、社会效应、可持续发展能力、服务对象满意度六大维度及其各维度细分评价指标及标准对部门整体实施绩效进行综合评价。</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运行成本。主要评价公用经费控制、在职人员控制和项目支出成本控制，包括公用经费控制、在职人员控制率、会议费控制率、“三公经费”变动率等。</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管理效率。主要评价部门战略管理、预算编制、预算执行、绩效管理、资产管理、财务管理，包括中长期规划相符性、工作计划健全性、预算编制科学性、预算编制合理性、立项规范性、预算调整率、预算执行率、结转结余率、政府采购执行率、非税收入预算完成率、事前绩效评估完成率、绩效目标合理性、绩效监控开展率、绩效评价覆盖率、评价结果应用率、资产管理制度健全性、资产管理规范性、财务管理制度健全性、会计核算规范性、资金使用规范性等。</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履职效能。根据上级部门下达的年度绩效管理目标责任书和年度部门职能职责工作目标，主要评价部门职责履行及重点工作完成情况。</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社会效应。主要评价部门履职对经济、社会、环境等带来的影响。</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可持续发展能力。主要评价部门体制机制改革、人才支撑、科技支撑，包括服务体制改革成效、行政管理体制改革成效、业务学习与培训完成率、干部队伍体系建设规划情况、高学历、高层次人才储备率、信息化建设情况、新技术应用情况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sz w:val="32"/>
          <w:szCs w:val="32"/>
        </w:rPr>
        <w:t>服务对象满意度。主要评价服务对象满意度、联系部门满意度。</w:t>
      </w:r>
    </w:p>
    <w:p>
      <w:pPr>
        <w:spacing w:line="560" w:lineRule="exact"/>
        <w:ind w:firstLine="640" w:firstLineChars="200"/>
        <w:outlineLvl w:val="2"/>
        <w:rPr>
          <w:rFonts w:ascii="仿宋_GB2312" w:hAnsi="仿宋_GB2312" w:eastAsia="仿宋_GB2312" w:cs="仿宋_GB2312"/>
          <w:bCs/>
          <w:sz w:val="32"/>
          <w:szCs w:val="32"/>
        </w:rPr>
      </w:pPr>
      <w:bookmarkStart w:id="23" w:name="_Toc9070"/>
      <w:bookmarkStart w:id="24" w:name="_Toc5023"/>
      <w:bookmarkStart w:id="25" w:name="_Toc4823"/>
      <w:r>
        <w:rPr>
          <w:rFonts w:hint="eastAsia" w:ascii="仿宋_GB2312" w:hAnsi="仿宋_GB2312" w:eastAsia="仿宋_GB2312" w:cs="仿宋_GB2312"/>
          <w:bCs/>
          <w:sz w:val="32"/>
          <w:szCs w:val="32"/>
        </w:rPr>
        <w:t>4.评价工作组织</w:t>
      </w:r>
      <w:bookmarkEnd w:id="23"/>
      <w:bookmarkEnd w:id="24"/>
      <w:bookmarkEnd w:id="25"/>
    </w:p>
    <w:p>
      <w:pPr>
        <w:spacing w:line="560" w:lineRule="exact"/>
        <w:ind w:firstLine="640" w:firstLineChars="200"/>
        <w:rPr>
          <w:rFonts w:ascii="仿宋_GB2312" w:hAnsi="仿宋_GB2312" w:eastAsia="仿宋_GB2312" w:cs="仿宋_GB2312"/>
          <w:sz w:val="32"/>
          <w:szCs w:val="32"/>
        </w:rPr>
      </w:pPr>
      <w:bookmarkStart w:id="26" w:name="_Toc3909"/>
      <w:bookmarkStart w:id="27" w:name="_Toc11605"/>
      <w:r>
        <w:rPr>
          <w:rFonts w:hint="eastAsia" w:ascii="仿宋_GB2312" w:hAnsi="仿宋_GB2312" w:eastAsia="仿宋_GB2312" w:cs="仿宋_GB2312"/>
          <w:sz w:val="32"/>
          <w:szCs w:val="32"/>
        </w:rPr>
        <w:t>湖北恒信会计师事务有限公司受通城县财政局的委托，开展本次绩效评价工作，根据湖北省预算绩效管理《第三方机构参与预算绩效管理工作行为规范》的要求，积极组织开展评价工作。</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1）准备阶段（6月19日-7月10日）。成立评价工作组，根据本次绩效评价工作的目标、任务及要求，由公司熟悉预算绩效管理政策、工作经验丰富并在财政支出评价和相关行业领域的专业人员组成本次绩效评价工作小组，并由2名主评人参与主导。</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评价工作组向通城县财政局和</w:t>
      </w:r>
      <w:r>
        <w:rPr>
          <w:rFonts w:hint="eastAsia" w:ascii="仿宋_GB2312" w:hAnsi="仿宋_GB2312" w:eastAsia="仿宋_GB2312" w:cs="仿宋_GB2312"/>
          <w:sz w:val="32"/>
          <w:szCs w:val="32"/>
        </w:rPr>
        <w:t>石南镇人民政府</w:t>
      </w:r>
      <w:r>
        <w:rPr>
          <w:rFonts w:hint="eastAsia" w:ascii="仿宋" w:hAnsi="仿宋" w:eastAsia="仿宋" w:cs="宋体"/>
          <w:sz w:val="32"/>
          <w:szCs w:val="32"/>
        </w:rPr>
        <w:t>了解部门相关情况，制定评价工作具体方案，设计评价指标体系。</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2）实施阶段（7月11日-8月15日）。评价工作组进点被评单位，并组织开展专题座谈、访谈，实地勘察核查，了解单位职能职责、核查部门整体支出情况、部门履职情况，考核部门整体支出绩效目标的实现程度，实施问卷调查等工作。查阅取证，收集评价相关信息资料。</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3）报告阶段（8月16日-8月31日）。评价工作组对收集到的评价信息资料进行统计、整理与分析，根据评价基础数据及信息资料统计、整理分析结果，对照整体支出绩效评价指标体系具体指标及评分标准进行综合分析评价及指标得分计算，作出初步评价结论，撰写并完成评价报告初稿，提交通城县财政局及相关被评价单位征询意见。根据反馈意见修改、调整、完善评价报告初稿，并正式提交报告。</w:t>
      </w:r>
    </w:p>
    <w:p>
      <w:pPr>
        <w:spacing w:line="560" w:lineRule="exact"/>
        <w:ind w:firstLine="604" w:firstLineChars="189"/>
        <w:outlineLvl w:val="2"/>
        <w:rPr>
          <w:rFonts w:ascii="仿宋_GB2312" w:hAnsi="仿宋_GB2312" w:eastAsia="仿宋_GB2312" w:cs="仿宋_GB2312"/>
          <w:bCs/>
          <w:sz w:val="32"/>
          <w:szCs w:val="32"/>
        </w:rPr>
      </w:pPr>
      <w:bookmarkStart w:id="28" w:name="_Toc8119"/>
      <w:r>
        <w:rPr>
          <w:rFonts w:hint="eastAsia" w:ascii="仿宋_GB2312" w:hAnsi="仿宋_GB2312" w:eastAsia="仿宋_GB2312" w:cs="仿宋_GB2312"/>
          <w:bCs/>
          <w:sz w:val="32"/>
          <w:szCs w:val="32"/>
        </w:rPr>
        <w:t>5.绩效评价框架</w:t>
      </w:r>
      <w:bookmarkEnd w:id="26"/>
      <w:bookmarkEnd w:id="27"/>
      <w:bookmarkEnd w:id="28"/>
    </w:p>
    <w:p>
      <w:pPr>
        <w:spacing w:line="560" w:lineRule="exact"/>
        <w:ind w:firstLine="643" w:firstLineChars="200"/>
        <w:rPr>
          <w:rFonts w:ascii="仿宋_GB2312" w:hAnsi="仿宋_GB2312" w:eastAsia="仿宋_GB2312" w:cs="仿宋_GB2312"/>
          <w:b/>
          <w:sz w:val="32"/>
          <w:szCs w:val="32"/>
        </w:rPr>
      </w:pPr>
      <w:bookmarkStart w:id="29" w:name="_Toc22451"/>
      <w:r>
        <w:rPr>
          <w:rFonts w:hint="eastAsia" w:ascii="仿宋_GB2312" w:hAnsi="仿宋_GB2312" w:eastAsia="仿宋_GB2312" w:cs="仿宋_GB2312"/>
          <w:b/>
          <w:sz w:val="32"/>
          <w:szCs w:val="32"/>
        </w:rPr>
        <w:t>（1）评价原则</w:t>
      </w:r>
      <w:bookmarkEnd w:id="29"/>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a）客观公正、科学规范原则。按照“公开、公平、公正”的要求，采用科学、规范的评价程序和操作方案，准确全面地衡量专项资金的绩效情况。</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b</w:t>
      </w:r>
      <w:r>
        <w:rPr>
          <w:rFonts w:hint="eastAsia" w:ascii="仿宋_GB2312" w:hAnsi="仿宋" w:eastAsia="仿宋_GB2312" w:cs="宋体"/>
          <w:sz w:val="32"/>
          <w:szCs w:val="32"/>
        </w:rPr>
        <w:t>）目标导向原则。以部门资金的预期绩效目标为导向，重点评价专项资金目标的合理性、相关性、目标实现程度、相对于目标实现程度的效率及项目成效的可持续性。</w:t>
      </w:r>
    </w:p>
    <w:p>
      <w:pPr>
        <w:spacing w:line="560" w:lineRule="exact"/>
        <w:ind w:firstLine="640" w:firstLineChars="200"/>
        <w:rPr>
          <w:rFonts w:ascii="仿宋_GB2312" w:hAnsi="仿宋_GB2312" w:eastAsia="仿宋_GB2312" w:cs="仿宋_GB2312"/>
          <w:sz w:val="32"/>
          <w:szCs w:val="32"/>
        </w:rPr>
      </w:pPr>
      <w:r>
        <w:rPr>
          <w:rFonts w:ascii="仿宋_GB2312" w:hAnsi="仿宋" w:eastAsia="仿宋_GB2312" w:cs="宋体"/>
          <w:sz w:val="32"/>
          <w:szCs w:val="32"/>
        </w:rPr>
        <w:t>c</w:t>
      </w:r>
      <w:r>
        <w:rPr>
          <w:rFonts w:hint="eastAsia" w:ascii="仿宋_GB2312" w:hAnsi="仿宋" w:eastAsia="仿宋_GB2312" w:cs="宋体"/>
          <w:sz w:val="32"/>
          <w:szCs w:val="32"/>
        </w:rPr>
        <w:t>）定性与定量相结合原则。以量化指标测定分值的基础上，结合项目实施效果和管理工作情况进行综合评价分析。</w:t>
      </w:r>
    </w:p>
    <w:p>
      <w:pPr>
        <w:spacing w:line="560" w:lineRule="exact"/>
        <w:ind w:firstLine="643" w:firstLineChars="200"/>
        <w:rPr>
          <w:rFonts w:ascii="仿宋_GB2312" w:hAnsi="仿宋_GB2312" w:eastAsia="仿宋_GB2312" w:cs="仿宋_GB2312"/>
          <w:b/>
          <w:sz w:val="32"/>
          <w:szCs w:val="32"/>
        </w:rPr>
      </w:pPr>
      <w:bookmarkStart w:id="30" w:name="_Toc30538"/>
      <w:r>
        <w:rPr>
          <w:rFonts w:hint="eastAsia" w:ascii="仿宋_GB2312" w:hAnsi="仿宋_GB2312" w:eastAsia="仿宋_GB2312" w:cs="仿宋_GB2312"/>
          <w:b/>
          <w:sz w:val="32"/>
          <w:szCs w:val="32"/>
        </w:rPr>
        <w:t>（2）评价依据</w:t>
      </w:r>
      <w:bookmarkEnd w:id="30"/>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《中华人民共和国预算法》；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《中共中央 国务院关于全面实施预算绩效管理的意见》(中发〔2018〕34号)；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《湖北省财政厅关于印发全面实施预算绩效管理系列制度的通知》（鄂财绩发〔2020〕3号）；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《省财政厅关于印发《湖北省省直部门整体绩效管理暂行办法》的通知》（鄂财绩发〔2023〕4号）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通城县财政局《关于开展2022年度预算单位重点绩效评价工作的通知》（隽财发〔2023〕24号）；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资金使用单位项目立项审批及过程文件；评价工作人员取得的其他评价相关资料等。</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（3）评价指标体系</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参照《湖北省省直部门整体绩效管理暂行办法》的要求，按照相关性、重要性、可比性、系统性、经济性及明确性原则，将项目绩效评价指标分为三级及细分评价要点。</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一级指标：设定六个维度，分别为运行成本、管理效率、履职效能、社会效应、可持续发展能力、服务对象满意度。</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二级指标：根据部门整体的特点，对基本指标内容进行细化、分设。</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三级指标：对二级指标进行个性化设置，并确定各指标的标准值或比较值，设定分值和计分标准。</w:t>
      </w:r>
    </w:p>
    <w:p>
      <w:pPr>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sz w:val="32"/>
          <w:szCs w:val="32"/>
        </w:rPr>
        <w:t>绩效评价指标体系详见报告其他佐证材料1：《</w:t>
      </w:r>
      <w:r>
        <w:rPr>
          <w:rFonts w:hint="eastAsia" w:ascii="仿宋_GB2312" w:hAnsi="仿宋" w:eastAsia="仿宋_GB2312" w:cs="楷体"/>
          <w:sz w:val="32"/>
          <w:szCs w:val="32"/>
        </w:rPr>
        <w:t>石南镇人民政府2022年部门整体支出绩效评价指标体系及评分表</w:t>
      </w:r>
      <w:r>
        <w:rPr>
          <w:rFonts w:hint="eastAsia" w:ascii="仿宋_GB2312" w:hAnsi="仿宋" w:eastAsia="仿宋_GB2312"/>
          <w:sz w:val="32"/>
          <w:szCs w:val="32"/>
        </w:rPr>
        <w:t>》</w:t>
      </w:r>
      <w:r>
        <w:rPr>
          <w:rFonts w:hint="eastAsia" w:ascii="仿宋_GB2312" w:hAnsi="仿宋_GB2312" w:eastAsia="仿宋_GB2312" w:cs="仿宋_GB2312"/>
          <w:sz w:val="32"/>
          <w:szCs w:val="32"/>
        </w:rPr>
        <w:t>。</w:t>
      </w:r>
    </w:p>
    <w:p>
      <w:pPr>
        <w:spacing w:line="560" w:lineRule="exact"/>
        <w:ind w:firstLine="643" w:firstLineChars="200"/>
        <w:rPr>
          <w:rFonts w:ascii="仿宋_GB2312" w:hAnsi="仿宋" w:eastAsia="仿宋_GB2312" w:cs="楷体"/>
          <w:b/>
          <w:sz w:val="32"/>
          <w:szCs w:val="32"/>
        </w:rPr>
      </w:pPr>
      <w:bookmarkStart w:id="31" w:name="_Toc26216"/>
      <w:r>
        <w:rPr>
          <w:rFonts w:hint="eastAsia" w:ascii="仿宋_GB2312" w:hAnsi="仿宋" w:eastAsia="仿宋_GB2312" w:cs="楷体"/>
          <w:b/>
          <w:sz w:val="32"/>
          <w:szCs w:val="32"/>
        </w:rPr>
        <w:t>（4）绩效标准</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根据部门整体特点、评价目的、信息采集、评价环境等客观条件，我们运用下列标准进行评价：</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a）计划标准。以实现部门整体预定的目标、计划、预算、定额等数据作为评价的标准。</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b）历史标准。参照部门整体同类指标的历史数据和工作管理结果制定的评价标准。</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c）行业标准。以行业明确规定的指标范围进行参考标准。</w:t>
      </w:r>
    </w:p>
    <w:p>
      <w:pPr>
        <w:spacing w:line="560" w:lineRule="exact"/>
        <w:ind w:firstLine="643" w:firstLineChars="200"/>
        <w:rPr>
          <w:rFonts w:ascii="仿宋_GB2312" w:hAnsi="仿宋" w:eastAsia="仿宋_GB2312" w:cs="楷体"/>
          <w:b/>
          <w:sz w:val="32"/>
          <w:szCs w:val="32"/>
        </w:rPr>
      </w:pPr>
      <w:r>
        <w:rPr>
          <w:rFonts w:hint="eastAsia" w:ascii="仿宋_GB2312" w:hAnsi="仿宋" w:eastAsia="仿宋_GB2312" w:cs="楷体"/>
          <w:b/>
          <w:sz w:val="32"/>
          <w:szCs w:val="32"/>
        </w:rPr>
        <w:t>（5）评价方法</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基于部门整体绩效指标评价内容，在评价过程中我们交叉采用下列方法：</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a）目标比较法。将部门整体运行结果情况与预定目标的比较，分析目标实现程度的方法。</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b）成本效益分析法。将投入与产出、效益进行关联性分析的方法。</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c）因素分析法。综合分析影响绩效目标实现、实施效果的内外部因素的方法。</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d）公众评判法。针对部分支出难以直接用量化的指标计量其支出效益的，通过公众调查方式进行评判的方法。</w:t>
      </w:r>
    </w:p>
    <w:p>
      <w:pPr>
        <w:spacing w:line="560" w:lineRule="exact"/>
        <w:ind w:firstLine="570"/>
        <w:rPr>
          <w:rFonts w:ascii="仿宋_GB2312" w:hAnsi="仿宋_GB2312" w:eastAsia="仿宋_GB2312" w:cs="仿宋_GB2312"/>
          <w:b/>
          <w:sz w:val="32"/>
          <w:szCs w:val="32"/>
        </w:rPr>
      </w:pPr>
      <w:r>
        <w:rPr>
          <w:rFonts w:hint="eastAsia" w:ascii="仿宋_GB2312" w:hAnsi="仿宋_GB2312" w:eastAsia="仿宋_GB2312" w:cs="仿宋_GB2312"/>
          <w:b/>
          <w:sz w:val="32"/>
          <w:szCs w:val="32"/>
        </w:rPr>
        <w:t>（6）评价结果</w:t>
      </w:r>
      <w:bookmarkEnd w:id="31"/>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sz w:val="32"/>
          <w:szCs w:val="32"/>
        </w:rPr>
        <w:t>设计评价考核总分100分计，其中运行成本8分、管理效率22分、履职效能30分、社会效应30分、可持续发展能力6分、服务对象满意度4分。依据湖北省省级预算绩效评价管理暂行办法，将评分结果级别类型分为如下档次：</w:t>
      </w:r>
    </w:p>
    <w:tbl>
      <w:tblPr>
        <w:tblStyle w:val="10"/>
        <w:tblW w:w="8379" w:type="dxa"/>
        <w:jc w:val="center"/>
        <w:tblLayout w:type="fixed"/>
        <w:tblCellMar>
          <w:top w:w="0" w:type="dxa"/>
          <w:left w:w="108" w:type="dxa"/>
          <w:bottom w:w="0" w:type="dxa"/>
          <w:right w:w="108" w:type="dxa"/>
        </w:tblCellMar>
      </w:tblPr>
      <w:tblGrid>
        <w:gridCol w:w="4603"/>
        <w:gridCol w:w="3776"/>
      </w:tblGrid>
      <w:tr>
        <w:tblPrEx>
          <w:tblCellMar>
            <w:top w:w="0" w:type="dxa"/>
            <w:left w:w="108" w:type="dxa"/>
            <w:bottom w:w="0" w:type="dxa"/>
            <w:right w:w="108" w:type="dxa"/>
          </w:tblCellMar>
        </w:tblPrEx>
        <w:trPr>
          <w:trHeight w:val="886" w:hRule="atLeast"/>
          <w:jc w:val="center"/>
        </w:trPr>
        <w:tc>
          <w:tcPr>
            <w:tcW w:w="8379" w:type="dxa"/>
            <w:gridSpan w:val="2"/>
            <w:tcBorders>
              <w:top w:val="nil"/>
              <w:left w:val="nil"/>
              <w:bottom w:val="single" w:color="auto" w:sz="4" w:space="0"/>
              <w:right w:val="nil"/>
            </w:tcBorders>
            <w:vAlign w:val="center"/>
          </w:tcPr>
          <w:p>
            <w:pPr>
              <w:widowControl/>
              <w:spacing w:line="560" w:lineRule="exact"/>
              <w:jc w:val="center"/>
              <w:rPr>
                <w:rFonts w:ascii="宋体" w:hAnsi="宋体" w:cs="宋体"/>
                <w:color w:val="000000"/>
                <w:kern w:val="0"/>
                <w:sz w:val="30"/>
                <w:szCs w:val="30"/>
              </w:rPr>
            </w:pPr>
            <w:r>
              <w:rPr>
                <w:rFonts w:hint="eastAsia" w:ascii="宋体" w:hAnsi="宋体" w:cs="宋体"/>
                <w:color w:val="000000"/>
                <w:kern w:val="0"/>
                <w:sz w:val="30"/>
                <w:szCs w:val="30"/>
              </w:rPr>
              <w:t>评分结果级别评定对照表</w:t>
            </w:r>
          </w:p>
        </w:tc>
      </w:tr>
      <w:tr>
        <w:tblPrEx>
          <w:tblCellMar>
            <w:top w:w="0" w:type="dxa"/>
            <w:left w:w="108" w:type="dxa"/>
            <w:bottom w:w="0" w:type="dxa"/>
            <w:right w:w="108" w:type="dxa"/>
          </w:tblCellMar>
        </w:tblPrEx>
        <w:trPr>
          <w:trHeight w:val="553" w:hRule="atLeast"/>
          <w:jc w:val="center"/>
        </w:trPr>
        <w:tc>
          <w:tcPr>
            <w:tcW w:w="4603"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b/>
                <w:color w:val="000000"/>
                <w:kern w:val="0"/>
                <w:sz w:val="24"/>
              </w:rPr>
            </w:pPr>
            <w:r>
              <w:rPr>
                <w:rFonts w:hint="eastAsia" w:ascii="宋体" w:hAnsi="宋体" w:cs="宋体"/>
                <w:b/>
                <w:color w:val="000000"/>
                <w:kern w:val="0"/>
                <w:sz w:val="24"/>
              </w:rPr>
              <w:t>评分计分结果</w:t>
            </w:r>
          </w:p>
        </w:tc>
        <w:tc>
          <w:tcPr>
            <w:tcW w:w="3776" w:type="dxa"/>
            <w:tcBorders>
              <w:top w:val="nil"/>
              <w:left w:val="nil"/>
              <w:bottom w:val="single" w:color="auto" w:sz="4" w:space="0"/>
              <w:right w:val="single" w:color="auto" w:sz="4" w:space="0"/>
            </w:tcBorders>
            <w:vAlign w:val="center"/>
          </w:tcPr>
          <w:p>
            <w:pPr>
              <w:widowControl/>
              <w:spacing w:line="560" w:lineRule="exact"/>
              <w:jc w:val="center"/>
              <w:rPr>
                <w:rFonts w:ascii="宋体" w:hAnsi="宋体" w:cs="宋体"/>
                <w:b/>
                <w:color w:val="000000"/>
                <w:kern w:val="0"/>
                <w:sz w:val="24"/>
              </w:rPr>
            </w:pPr>
            <w:r>
              <w:rPr>
                <w:rFonts w:hint="eastAsia" w:ascii="宋体" w:hAnsi="宋体" w:cs="宋体"/>
                <w:b/>
                <w:color w:val="000000"/>
                <w:kern w:val="0"/>
                <w:sz w:val="24"/>
              </w:rPr>
              <w:t>评价结果级别</w:t>
            </w:r>
          </w:p>
        </w:tc>
      </w:tr>
      <w:tr>
        <w:tblPrEx>
          <w:tblCellMar>
            <w:top w:w="0" w:type="dxa"/>
            <w:left w:w="108" w:type="dxa"/>
            <w:bottom w:w="0" w:type="dxa"/>
            <w:right w:w="108" w:type="dxa"/>
          </w:tblCellMar>
        </w:tblPrEx>
        <w:trPr>
          <w:trHeight w:val="433" w:hRule="atLeast"/>
          <w:jc w:val="center"/>
        </w:trPr>
        <w:tc>
          <w:tcPr>
            <w:tcW w:w="4603"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000000"/>
                <w:kern w:val="0"/>
                <w:sz w:val="24"/>
              </w:rPr>
            </w:pPr>
            <w:r>
              <w:rPr>
                <w:rFonts w:hint="eastAsia" w:ascii="宋体" w:hAnsi="宋体" w:cs="宋体"/>
                <w:color w:val="000000"/>
                <w:kern w:val="0"/>
                <w:sz w:val="24"/>
              </w:rPr>
              <w:t>90-100分（含90分）</w:t>
            </w:r>
          </w:p>
        </w:tc>
        <w:tc>
          <w:tcPr>
            <w:tcW w:w="3776" w:type="dxa"/>
            <w:tcBorders>
              <w:top w:val="nil"/>
              <w:left w:val="nil"/>
              <w:bottom w:val="single" w:color="auto" w:sz="4" w:space="0"/>
              <w:right w:val="single" w:color="auto" w:sz="4" w:space="0"/>
            </w:tcBorders>
            <w:vAlign w:val="center"/>
          </w:tcPr>
          <w:p>
            <w:pPr>
              <w:widowControl/>
              <w:spacing w:line="560" w:lineRule="exact"/>
              <w:jc w:val="center"/>
              <w:rPr>
                <w:rFonts w:ascii="宋体" w:hAnsi="宋体" w:cs="宋体"/>
                <w:color w:val="000000"/>
                <w:kern w:val="0"/>
                <w:sz w:val="24"/>
              </w:rPr>
            </w:pPr>
            <w:r>
              <w:rPr>
                <w:rFonts w:hint="eastAsia" w:ascii="宋体" w:hAnsi="宋体" w:cs="宋体"/>
                <w:color w:val="000000"/>
                <w:kern w:val="0"/>
                <w:sz w:val="24"/>
              </w:rPr>
              <w:t>优</w:t>
            </w:r>
          </w:p>
        </w:tc>
      </w:tr>
      <w:tr>
        <w:tblPrEx>
          <w:tblCellMar>
            <w:top w:w="0" w:type="dxa"/>
            <w:left w:w="108" w:type="dxa"/>
            <w:bottom w:w="0" w:type="dxa"/>
            <w:right w:w="108" w:type="dxa"/>
          </w:tblCellMar>
        </w:tblPrEx>
        <w:trPr>
          <w:trHeight w:val="421" w:hRule="atLeast"/>
          <w:jc w:val="center"/>
        </w:trPr>
        <w:tc>
          <w:tcPr>
            <w:tcW w:w="4603"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000000"/>
                <w:kern w:val="0"/>
                <w:sz w:val="24"/>
              </w:rPr>
            </w:pPr>
            <w:r>
              <w:rPr>
                <w:rFonts w:hint="eastAsia" w:ascii="宋体" w:hAnsi="宋体" w:cs="宋体"/>
                <w:color w:val="000000"/>
                <w:kern w:val="0"/>
                <w:sz w:val="24"/>
              </w:rPr>
              <w:t>80-90分（含80分）</w:t>
            </w:r>
          </w:p>
        </w:tc>
        <w:tc>
          <w:tcPr>
            <w:tcW w:w="3776" w:type="dxa"/>
            <w:tcBorders>
              <w:top w:val="nil"/>
              <w:left w:val="nil"/>
              <w:bottom w:val="single" w:color="auto" w:sz="4" w:space="0"/>
              <w:right w:val="single" w:color="auto" w:sz="4" w:space="0"/>
            </w:tcBorders>
            <w:vAlign w:val="center"/>
          </w:tcPr>
          <w:p>
            <w:pPr>
              <w:widowControl/>
              <w:spacing w:line="560" w:lineRule="exact"/>
              <w:jc w:val="center"/>
              <w:rPr>
                <w:rFonts w:ascii="宋体" w:hAnsi="宋体" w:cs="宋体"/>
                <w:color w:val="000000"/>
                <w:kern w:val="0"/>
                <w:sz w:val="24"/>
              </w:rPr>
            </w:pPr>
            <w:r>
              <w:rPr>
                <w:rFonts w:hint="eastAsia" w:ascii="宋体" w:hAnsi="宋体" w:cs="宋体"/>
                <w:color w:val="000000"/>
                <w:kern w:val="0"/>
                <w:sz w:val="24"/>
              </w:rPr>
              <w:t>良</w:t>
            </w:r>
          </w:p>
        </w:tc>
      </w:tr>
      <w:tr>
        <w:tblPrEx>
          <w:tblCellMar>
            <w:top w:w="0" w:type="dxa"/>
            <w:left w:w="108" w:type="dxa"/>
            <w:bottom w:w="0" w:type="dxa"/>
            <w:right w:w="108" w:type="dxa"/>
          </w:tblCellMar>
        </w:tblPrEx>
        <w:trPr>
          <w:trHeight w:val="421" w:hRule="atLeast"/>
          <w:jc w:val="center"/>
        </w:trPr>
        <w:tc>
          <w:tcPr>
            <w:tcW w:w="4603"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000000"/>
                <w:kern w:val="0"/>
                <w:sz w:val="24"/>
              </w:rPr>
            </w:pPr>
            <w:r>
              <w:rPr>
                <w:rFonts w:hint="eastAsia" w:ascii="宋体" w:hAnsi="宋体" w:cs="宋体"/>
                <w:color w:val="000000"/>
                <w:kern w:val="0"/>
                <w:sz w:val="24"/>
              </w:rPr>
              <w:t>60-80分（含60分）</w:t>
            </w:r>
          </w:p>
        </w:tc>
        <w:tc>
          <w:tcPr>
            <w:tcW w:w="3776" w:type="dxa"/>
            <w:tcBorders>
              <w:top w:val="nil"/>
              <w:left w:val="nil"/>
              <w:bottom w:val="single" w:color="auto" w:sz="4" w:space="0"/>
              <w:right w:val="single" w:color="auto" w:sz="4" w:space="0"/>
            </w:tcBorders>
            <w:vAlign w:val="center"/>
          </w:tcPr>
          <w:p>
            <w:pPr>
              <w:widowControl/>
              <w:spacing w:line="560" w:lineRule="exact"/>
              <w:jc w:val="center"/>
              <w:rPr>
                <w:rFonts w:ascii="宋体" w:hAnsi="宋体" w:cs="宋体"/>
                <w:color w:val="000000"/>
                <w:kern w:val="0"/>
                <w:sz w:val="24"/>
              </w:rPr>
            </w:pPr>
            <w:r>
              <w:rPr>
                <w:rFonts w:hint="eastAsia" w:ascii="宋体" w:hAnsi="宋体" w:cs="宋体"/>
                <w:color w:val="000000"/>
                <w:kern w:val="0"/>
                <w:sz w:val="24"/>
              </w:rPr>
              <w:t>中</w:t>
            </w:r>
          </w:p>
        </w:tc>
      </w:tr>
      <w:tr>
        <w:tblPrEx>
          <w:tblCellMar>
            <w:top w:w="0" w:type="dxa"/>
            <w:left w:w="108" w:type="dxa"/>
            <w:bottom w:w="0" w:type="dxa"/>
            <w:right w:w="108" w:type="dxa"/>
          </w:tblCellMar>
        </w:tblPrEx>
        <w:trPr>
          <w:trHeight w:val="556" w:hRule="atLeast"/>
          <w:jc w:val="center"/>
        </w:trPr>
        <w:tc>
          <w:tcPr>
            <w:tcW w:w="4603"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000000"/>
                <w:kern w:val="0"/>
                <w:sz w:val="24"/>
              </w:rPr>
            </w:pPr>
            <w:r>
              <w:rPr>
                <w:rFonts w:hint="eastAsia" w:ascii="宋体" w:hAnsi="宋体" w:cs="宋体"/>
                <w:color w:val="000000"/>
                <w:kern w:val="0"/>
                <w:sz w:val="24"/>
              </w:rPr>
              <w:t>60以下</w:t>
            </w:r>
          </w:p>
        </w:tc>
        <w:tc>
          <w:tcPr>
            <w:tcW w:w="3776" w:type="dxa"/>
            <w:tcBorders>
              <w:top w:val="nil"/>
              <w:left w:val="nil"/>
              <w:bottom w:val="single" w:color="auto" w:sz="4" w:space="0"/>
              <w:right w:val="single" w:color="auto" w:sz="4" w:space="0"/>
            </w:tcBorders>
            <w:vAlign w:val="center"/>
          </w:tcPr>
          <w:p>
            <w:pPr>
              <w:widowControl/>
              <w:spacing w:line="560" w:lineRule="exact"/>
              <w:jc w:val="center"/>
              <w:rPr>
                <w:rFonts w:ascii="宋体" w:hAnsi="宋体" w:cs="宋体"/>
                <w:color w:val="000000"/>
                <w:kern w:val="0"/>
                <w:sz w:val="24"/>
              </w:rPr>
            </w:pPr>
            <w:r>
              <w:rPr>
                <w:rFonts w:hint="eastAsia" w:ascii="宋体" w:hAnsi="宋体" w:cs="宋体"/>
                <w:color w:val="000000"/>
                <w:kern w:val="0"/>
                <w:sz w:val="24"/>
              </w:rPr>
              <w:t>差</w:t>
            </w:r>
          </w:p>
        </w:tc>
      </w:tr>
    </w:tbl>
    <w:p>
      <w:pPr>
        <w:spacing w:line="560" w:lineRule="exact"/>
        <w:ind w:firstLine="643" w:firstLineChars="200"/>
        <w:outlineLvl w:val="2"/>
        <w:rPr>
          <w:rFonts w:ascii="仿宋_GB2312" w:hAnsi="仿宋" w:eastAsia="仿宋_GB2312" w:cs="楷体"/>
          <w:b/>
          <w:sz w:val="32"/>
          <w:szCs w:val="32"/>
        </w:rPr>
      </w:pPr>
      <w:bookmarkStart w:id="32" w:name="_Toc22560"/>
      <w:bookmarkStart w:id="33" w:name="_Toc32545"/>
      <w:bookmarkStart w:id="34" w:name="_Toc4576"/>
      <w:bookmarkStart w:id="35" w:name="_Toc111133048"/>
      <w:bookmarkStart w:id="36" w:name="_Toc9194"/>
      <w:bookmarkStart w:id="37" w:name="_Toc10370"/>
      <w:bookmarkStart w:id="38" w:name="_Toc22540"/>
      <w:r>
        <w:rPr>
          <w:rFonts w:hint="eastAsia" w:ascii="仿宋_GB2312" w:hAnsi="仿宋" w:eastAsia="仿宋_GB2312" w:cs="楷体"/>
          <w:b/>
          <w:sz w:val="32"/>
          <w:szCs w:val="32"/>
        </w:rPr>
        <w:t>6</w:t>
      </w:r>
      <w:r>
        <w:rPr>
          <w:rFonts w:ascii="仿宋_GB2312" w:hAnsi="仿宋" w:eastAsia="仿宋_GB2312" w:cs="楷体"/>
          <w:b/>
          <w:sz w:val="32"/>
          <w:szCs w:val="32"/>
        </w:rPr>
        <w:t>.</w:t>
      </w:r>
      <w:r>
        <w:rPr>
          <w:rFonts w:hint="eastAsia" w:ascii="仿宋_GB2312" w:hAnsi="仿宋" w:eastAsia="仿宋_GB2312" w:cs="楷体"/>
          <w:b/>
          <w:sz w:val="32"/>
          <w:szCs w:val="32"/>
        </w:rPr>
        <w:t>证据收集方法</w:t>
      </w:r>
      <w:bookmarkEnd w:id="32"/>
      <w:bookmarkEnd w:id="33"/>
      <w:bookmarkEnd w:id="34"/>
      <w:bookmarkEnd w:id="35"/>
      <w:bookmarkEnd w:id="36"/>
      <w:bookmarkEnd w:id="37"/>
      <w:bookmarkEnd w:id="38"/>
    </w:p>
    <w:p>
      <w:pPr>
        <w:spacing w:line="560" w:lineRule="exact"/>
        <w:ind w:firstLine="555"/>
        <w:rPr>
          <w:rFonts w:ascii="仿宋" w:hAnsi="仿宋" w:eastAsia="仿宋" w:cs="宋体"/>
          <w:sz w:val="32"/>
          <w:szCs w:val="32"/>
        </w:rPr>
      </w:pPr>
      <w:r>
        <w:rPr>
          <w:rFonts w:hint="eastAsia" w:ascii="仿宋_GB2312" w:hAnsi="仿宋" w:eastAsia="仿宋_GB2312" w:cs="宋体"/>
          <w:sz w:val="32"/>
          <w:szCs w:val="32"/>
        </w:rPr>
        <w:t>本次绩效评价工作的开展，评价工作组对评价证据及佐证材料的收集主要通过案卷研析、实地调研、座谈和问卷调查等四种形式进行。</w:t>
      </w:r>
    </w:p>
    <w:p>
      <w:pPr>
        <w:spacing w:line="560" w:lineRule="exact"/>
        <w:ind w:firstLine="636" w:firstLineChars="198"/>
        <w:rPr>
          <w:rFonts w:ascii="仿宋_GB2312" w:hAnsi="仿宋" w:eastAsia="仿宋_GB2312" w:cs="宋体"/>
          <w:b/>
          <w:sz w:val="32"/>
          <w:szCs w:val="32"/>
        </w:rPr>
      </w:pPr>
      <w:r>
        <w:rPr>
          <w:rFonts w:hint="eastAsia" w:ascii="仿宋_GB2312" w:hAnsi="仿宋" w:eastAsia="仿宋_GB2312" w:cs="宋体"/>
          <w:b/>
          <w:sz w:val="32"/>
          <w:szCs w:val="32"/>
        </w:rPr>
        <w:t>（1）案卷研析</w:t>
      </w:r>
    </w:p>
    <w:p>
      <w:pPr>
        <w:spacing w:line="560" w:lineRule="exact"/>
        <w:ind w:firstLine="555"/>
        <w:rPr>
          <w:rFonts w:ascii="仿宋_GB2312" w:hAnsi="仿宋" w:eastAsia="仿宋_GB2312" w:cs="宋体"/>
          <w:sz w:val="32"/>
          <w:szCs w:val="32"/>
        </w:rPr>
      </w:pPr>
      <w:r>
        <w:rPr>
          <w:rFonts w:hint="eastAsia" w:ascii="仿宋_GB2312" w:hAnsi="仿宋" w:eastAsia="仿宋_GB2312" w:cs="宋体"/>
          <w:sz w:val="32"/>
          <w:szCs w:val="32"/>
        </w:rPr>
        <w:t>从预算资金管理部门县财政局查阅、整理、研究、分析部门资金具体实施及绩效目标管理等相关信息和佐证材料。</w:t>
      </w:r>
    </w:p>
    <w:p>
      <w:pPr>
        <w:spacing w:line="560" w:lineRule="exact"/>
        <w:ind w:firstLine="630" w:firstLineChars="196"/>
        <w:rPr>
          <w:rFonts w:ascii="仿宋_GB2312" w:hAnsi="仿宋" w:eastAsia="仿宋_GB2312" w:cs="宋体"/>
          <w:b/>
          <w:sz w:val="32"/>
          <w:szCs w:val="32"/>
        </w:rPr>
      </w:pPr>
      <w:r>
        <w:rPr>
          <w:rFonts w:hint="eastAsia" w:ascii="仿宋_GB2312" w:hAnsi="仿宋" w:eastAsia="仿宋_GB2312" w:cs="宋体"/>
          <w:b/>
          <w:sz w:val="32"/>
          <w:szCs w:val="32"/>
        </w:rPr>
        <w:t>（2）实地调研与座谈</w:t>
      </w:r>
    </w:p>
    <w:p>
      <w:pPr>
        <w:spacing w:line="560" w:lineRule="exact"/>
        <w:ind w:firstLine="555"/>
        <w:rPr>
          <w:rFonts w:ascii="仿宋_GB2312" w:hAnsi="仿宋" w:eastAsia="仿宋_GB2312" w:cs="宋体"/>
          <w:sz w:val="32"/>
          <w:szCs w:val="32"/>
        </w:rPr>
      </w:pPr>
      <w:r>
        <w:rPr>
          <w:rFonts w:hint="eastAsia" w:ascii="仿宋_GB2312" w:hAnsi="仿宋" w:eastAsia="仿宋_GB2312" w:cs="宋体"/>
          <w:sz w:val="32"/>
          <w:szCs w:val="32"/>
        </w:rPr>
        <w:t>与石南镇人民政府实施座谈，听取关于资金绩效工作的陈述和信息反馈，听取意见和建议，为后续绩效指标评价分析和撰写评价报告奠定基础。</w:t>
      </w:r>
    </w:p>
    <w:p>
      <w:pPr>
        <w:spacing w:line="560" w:lineRule="exact"/>
        <w:ind w:firstLine="630" w:firstLineChars="196"/>
        <w:rPr>
          <w:rFonts w:ascii="仿宋_GB2312" w:hAnsi="仿宋" w:eastAsia="仿宋_GB2312" w:cs="宋体"/>
          <w:b/>
          <w:sz w:val="32"/>
          <w:szCs w:val="32"/>
        </w:rPr>
      </w:pPr>
      <w:r>
        <w:rPr>
          <w:rFonts w:hint="eastAsia" w:ascii="仿宋_GB2312" w:hAnsi="仿宋" w:eastAsia="仿宋_GB2312" w:cs="宋体"/>
          <w:b/>
          <w:sz w:val="32"/>
          <w:szCs w:val="32"/>
        </w:rPr>
        <w:t>（3）问卷调查</w:t>
      </w:r>
    </w:p>
    <w:p>
      <w:pPr>
        <w:spacing w:line="560" w:lineRule="exact"/>
        <w:ind w:firstLine="570"/>
        <w:rPr>
          <w:rFonts w:ascii="仿宋_GB2312" w:hAnsi="仿宋" w:eastAsia="仿宋_GB2312" w:cs="宋体"/>
          <w:sz w:val="32"/>
          <w:szCs w:val="32"/>
        </w:rPr>
      </w:pPr>
      <w:bookmarkStart w:id="39" w:name="_Toc111133049"/>
      <w:r>
        <w:rPr>
          <w:rFonts w:hint="eastAsia" w:ascii="仿宋_GB2312" w:hAnsi="仿宋" w:eastAsia="仿宋_GB2312" w:cs="宋体"/>
          <w:sz w:val="32"/>
          <w:szCs w:val="32"/>
        </w:rPr>
        <w:t>对服务群众及部门内部员工发放调查问卷，</w:t>
      </w:r>
      <w:bookmarkStart w:id="40" w:name="_Hlk65060043"/>
      <w:r>
        <w:rPr>
          <w:rFonts w:hint="eastAsia" w:ascii="仿宋_GB2312" w:hAnsi="仿宋" w:eastAsia="仿宋_GB2312" w:cs="宋体"/>
          <w:sz w:val="32"/>
          <w:szCs w:val="32"/>
        </w:rPr>
        <w:t>从政府服务，问题解决、办事效率等方面，</w:t>
      </w:r>
      <w:bookmarkEnd w:id="40"/>
      <w:r>
        <w:rPr>
          <w:rFonts w:hint="eastAsia" w:ascii="仿宋_GB2312" w:hAnsi="仿宋" w:eastAsia="仿宋_GB2312" w:cs="宋体"/>
          <w:sz w:val="32"/>
          <w:szCs w:val="32"/>
        </w:rPr>
        <w:t>了解部门整体支出实施满意度和影响力，以公众评判来考核项目实施效果。</w:t>
      </w:r>
      <w:bookmarkEnd w:id="39"/>
    </w:p>
    <w:p>
      <w:pPr>
        <w:pStyle w:val="2"/>
        <w:spacing w:line="560" w:lineRule="exact"/>
        <w:ind w:firstLine="643" w:firstLineChars="200"/>
        <w:outlineLvl w:val="1"/>
        <w:rPr>
          <w:rFonts w:ascii="楷体_GB2312" w:hAnsi="楷体_GB2312" w:eastAsia="楷体_GB2312" w:cs="楷体_GB2312"/>
          <w:b/>
          <w:bCs/>
          <w:sz w:val="32"/>
          <w:szCs w:val="32"/>
        </w:rPr>
      </w:pPr>
      <w:bookmarkStart w:id="41" w:name="_Toc12410"/>
      <w:r>
        <w:rPr>
          <w:rFonts w:hint="eastAsia" w:ascii="楷体_GB2312" w:hAnsi="楷体_GB2312" w:eastAsia="楷体_GB2312" w:cs="楷体_GB2312"/>
          <w:b/>
          <w:bCs/>
          <w:sz w:val="32"/>
          <w:szCs w:val="32"/>
        </w:rPr>
        <w:t>（三）绩效评价指标完成情况分析</w:t>
      </w:r>
      <w:bookmarkEnd w:id="41"/>
    </w:p>
    <w:p>
      <w:pPr>
        <w:spacing w:line="560" w:lineRule="exact"/>
        <w:ind w:firstLine="640" w:firstLineChars="200"/>
        <w:rPr>
          <w:rFonts w:ascii="仿宋" w:hAnsi="仿宋" w:eastAsia="仿宋" w:cs="宋体"/>
          <w:sz w:val="32"/>
          <w:szCs w:val="32"/>
        </w:rPr>
      </w:pPr>
      <w:r>
        <w:rPr>
          <w:rFonts w:hint="eastAsia" w:ascii="仿宋_GB2312" w:hAnsi="仿宋" w:eastAsia="仿宋_GB2312" w:cs="宋体"/>
          <w:sz w:val="32"/>
          <w:szCs w:val="32"/>
        </w:rPr>
        <w:t>根据设定的绩效评价指标体系，依照指标评价标准及评分细则，分别从运行成本、管理效率、履职效能、社会效应、可持续发展能力、服务对象满意度六大维度对部门整体支出绩效进行分析评价打分。</w:t>
      </w:r>
    </w:p>
    <w:p>
      <w:pPr>
        <w:pStyle w:val="2"/>
        <w:spacing w:line="560" w:lineRule="exact"/>
        <w:ind w:firstLine="643" w:firstLineChars="200"/>
        <w:outlineLvl w:val="2"/>
        <w:rPr>
          <w:rFonts w:ascii="仿宋_GB2312" w:hAnsi="Times New Roman" w:eastAsia="仿宋_GB2312"/>
          <w:b/>
          <w:bCs/>
          <w:sz w:val="32"/>
          <w:szCs w:val="32"/>
        </w:rPr>
      </w:pPr>
      <w:bookmarkStart w:id="42" w:name="_Toc30495"/>
      <w:r>
        <w:rPr>
          <w:rFonts w:hint="eastAsia" w:ascii="仿宋_GB2312" w:hAnsi="Times New Roman" w:eastAsia="仿宋_GB2312"/>
          <w:b/>
          <w:bCs/>
          <w:sz w:val="32"/>
          <w:szCs w:val="32"/>
        </w:rPr>
        <w:t>1.运行成本指标完成情况详细分析</w:t>
      </w:r>
      <w:bookmarkEnd w:id="42"/>
    </w:p>
    <w:p>
      <w:pPr>
        <w:spacing w:line="560" w:lineRule="exact"/>
        <w:ind w:firstLine="562"/>
        <w:rPr>
          <w:rFonts w:ascii="仿宋_GB2312" w:hAnsi="仿宋_GB2312" w:eastAsia="仿宋_GB2312" w:cs="仿宋_GB2312"/>
          <w:b/>
          <w:sz w:val="32"/>
          <w:szCs w:val="32"/>
        </w:rPr>
      </w:pPr>
      <w:r>
        <w:rPr>
          <w:rFonts w:hint="eastAsia" w:ascii="仿宋_GB2312" w:hAnsi="仿宋_GB2312" w:eastAsia="仿宋_GB2312" w:cs="仿宋_GB2312"/>
          <w:b/>
          <w:sz w:val="32"/>
          <w:szCs w:val="32"/>
        </w:rPr>
        <w:t>（1）基本经费成本控制</w:t>
      </w:r>
    </w:p>
    <w:p>
      <w:pPr>
        <w:spacing w:line="560" w:lineRule="exact"/>
        <w:ind w:firstLine="562"/>
        <w:rPr>
          <w:rFonts w:ascii="仿宋_GB2312" w:hAnsi="仿宋_GB2312" w:eastAsia="仿宋_GB2312" w:cs="仿宋_GB2312"/>
          <w:b/>
          <w:sz w:val="32"/>
          <w:szCs w:val="32"/>
        </w:rPr>
      </w:pPr>
      <w:bookmarkStart w:id="43" w:name="_Hlk64894692"/>
      <w:bookmarkStart w:id="44" w:name="_Hlk65071167"/>
      <w:r>
        <w:rPr>
          <w:rFonts w:hint="eastAsia" w:ascii="仿宋_GB2312" w:hAnsi="仿宋_GB2312" w:eastAsia="仿宋_GB2312" w:cs="仿宋_GB2312"/>
          <w:b/>
          <w:sz w:val="32"/>
          <w:szCs w:val="32"/>
        </w:rPr>
        <w:t>a）</w:t>
      </w:r>
      <w:bookmarkEnd w:id="43"/>
      <w:r>
        <w:rPr>
          <w:rFonts w:hint="eastAsia" w:ascii="仿宋_GB2312" w:hAnsi="仿宋_GB2312" w:eastAsia="仿宋_GB2312" w:cs="仿宋_GB2312"/>
          <w:b/>
          <w:sz w:val="32"/>
          <w:szCs w:val="32"/>
        </w:rPr>
        <w:t>公用经费控制率（指标标准分值2分）</w:t>
      </w:r>
    </w:p>
    <w:p>
      <w:pPr>
        <w:spacing w:line="560" w:lineRule="exact"/>
        <w:ind w:firstLine="562"/>
        <w:rPr>
          <w:rFonts w:ascii="仿宋_GB2312" w:hAnsi="仿宋_GB2312" w:eastAsia="仿宋_GB2312" w:cs="仿宋_GB2312"/>
          <w:b/>
          <w:sz w:val="32"/>
          <w:szCs w:val="32"/>
        </w:rPr>
      </w:pPr>
      <w:r>
        <w:rPr>
          <w:rFonts w:hint="eastAsia" w:ascii="仿宋_GB2312" w:hAnsi="仿宋" w:eastAsia="仿宋_GB2312" w:cs="宋体"/>
          <w:b/>
          <w:sz w:val="32"/>
          <w:szCs w:val="32"/>
        </w:rPr>
        <w:t>指标内容：</w:t>
      </w:r>
      <w:r>
        <w:rPr>
          <w:rFonts w:hint="eastAsia" w:ascii="仿宋_GB2312" w:hAnsi="仿宋" w:eastAsia="仿宋_GB2312" w:cs="宋体"/>
          <w:sz w:val="32"/>
          <w:szCs w:val="32"/>
        </w:rPr>
        <w:t>本年度实际支出的公用经费总额与预算安排的公用经费总额之比。</w:t>
      </w:r>
    </w:p>
    <w:p>
      <w:pPr>
        <w:spacing w:line="56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根据石南镇人民政府提供的2022年度预算报表及决算报表，2022年石南镇调整预算安排的公用经费总额为100.94万元，实际支出公用经费总额为100.94万元，公用经费控制率=（100.94/100.94）*100%=100%。</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bCs/>
          <w:sz w:val="32"/>
          <w:szCs w:val="32"/>
        </w:rPr>
        <w:t>根据评分标准，该项指标评价得分为满分2分。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b）在职人员控制率（指标标准分值2分）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宋体"/>
          <w:b/>
          <w:sz w:val="32"/>
          <w:szCs w:val="32"/>
        </w:rPr>
        <w:t>指标内容：</w:t>
      </w:r>
      <w:r>
        <w:rPr>
          <w:rFonts w:hint="eastAsia" w:ascii="仿宋_GB2312" w:hAnsi="仿宋" w:eastAsia="仿宋_GB2312" w:cs="宋体"/>
          <w:sz w:val="32"/>
          <w:szCs w:val="32"/>
        </w:rPr>
        <w:t>本年度实际在职人员与核定编制数之比。</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指标分析：</w:t>
      </w:r>
      <w:r>
        <w:rPr>
          <w:rFonts w:hint="eastAsia" w:ascii="仿宋_GB2312" w:hAnsi="仿宋_GB2312" w:eastAsia="仿宋_GB2312" w:cs="仿宋_GB2312"/>
          <w:sz w:val="32"/>
          <w:szCs w:val="32"/>
        </w:rPr>
        <w:t>根据石南镇人民政府提供的石南镇机关干部花名册，2022年石南镇在职人数为37人，核定行政编制与事业编制数为40，在职人员控制率=[37/（31+9）]*100%=92.5%。</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根据评分标准，在职人员控制比率比率&lt;100%，该项指标得分为满分2分。</w:t>
      </w:r>
    </w:p>
    <w:p>
      <w:pPr>
        <w:spacing w:line="560" w:lineRule="exact"/>
        <w:ind w:firstLine="562"/>
        <w:rPr>
          <w:rFonts w:ascii="仿宋_GB2312" w:hAnsi="仿宋_GB2312" w:eastAsia="仿宋_GB2312" w:cs="仿宋_GB2312"/>
          <w:b/>
          <w:sz w:val="32"/>
          <w:szCs w:val="32"/>
        </w:rPr>
      </w:pPr>
      <w:r>
        <w:rPr>
          <w:rFonts w:hint="eastAsia" w:ascii="仿宋_GB2312" w:hAnsi="仿宋_GB2312" w:eastAsia="仿宋_GB2312" w:cs="仿宋_GB2312"/>
          <w:b/>
          <w:sz w:val="32"/>
          <w:szCs w:val="32"/>
        </w:rPr>
        <w:t>（2）项目支出成本控制</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a）会议费控制率（指标标准分值2分）</w:t>
      </w:r>
    </w:p>
    <w:p>
      <w:pPr>
        <w:spacing w:line="560" w:lineRule="exact"/>
        <w:ind w:firstLine="643" w:firstLineChars="200"/>
        <w:rPr>
          <w:rFonts w:ascii="仿宋_GB2312" w:hAnsi="仿宋_GB2312" w:eastAsia="仿宋_GB2312" w:cs="仿宋_GB2312"/>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本年度会议费支出与相关支出标准的匹配程度。</w:t>
      </w:r>
    </w:p>
    <w:bookmarkEnd w:id="44"/>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指标分析：</w:t>
      </w:r>
      <w:r>
        <w:rPr>
          <w:rFonts w:hint="eastAsia" w:ascii="仿宋_GB2312" w:hAnsi="仿宋_GB2312" w:eastAsia="仿宋_GB2312" w:cs="仿宋_GB2312"/>
          <w:sz w:val="32"/>
          <w:szCs w:val="32"/>
        </w:rPr>
        <w:t>根据石南镇人民政府提供的会议费明细以及会计凭证及附件，2022年度，石南镇的会议费支出均符合相关支出标准。</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根据评分标准，该项指标得分为满分2分。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b）“三公经费”变动率（指标标准分值2分）</w:t>
      </w:r>
    </w:p>
    <w:p>
      <w:pPr>
        <w:spacing w:line="560" w:lineRule="exact"/>
        <w:ind w:firstLine="643" w:firstLineChars="200"/>
        <w:rPr>
          <w:rFonts w:ascii="仿宋_GB2312" w:hAnsi="仿宋_GB2312" w:eastAsia="仿宋_GB2312" w:cs="仿宋_GB2312"/>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部门(单位)本年度“三公经费”与上年度“三公经费”的变动比率。</w:t>
      </w:r>
    </w:p>
    <w:p>
      <w:pPr>
        <w:adjustRightInd w:val="0"/>
        <w:snapToGrid w:val="0"/>
        <w:spacing w:line="56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sz w:val="32"/>
          <w:szCs w:val="32"/>
        </w:rPr>
        <w:t>指标分析：</w:t>
      </w:r>
      <w:r>
        <w:rPr>
          <w:rFonts w:hint="eastAsia" w:ascii="仿宋_GB2312" w:hAnsi="仿宋_GB2312" w:eastAsia="仿宋_GB2312" w:cs="仿宋_GB2312"/>
          <w:sz w:val="32"/>
          <w:szCs w:val="32"/>
        </w:rPr>
        <w:t>根据石南镇人民政府提供的石南镇2021年及2022年决算报表，2022年度“三公经费”预算数为26.24万元，2021年度“三公经费”预算数为29.16万元，“三公经费”变动率=[(26.24-29.16/29.16]*100%=-10%。</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根据评分标准，该项指标得分为满分2分。</w:t>
      </w:r>
    </w:p>
    <w:p>
      <w:pPr>
        <w:pStyle w:val="2"/>
        <w:spacing w:line="560" w:lineRule="exact"/>
        <w:ind w:firstLine="643" w:firstLineChars="200"/>
        <w:outlineLvl w:val="2"/>
        <w:rPr>
          <w:rFonts w:ascii="仿宋_GB2312" w:hAnsi="Times New Roman" w:eastAsia="仿宋_GB2312"/>
          <w:b/>
          <w:bCs/>
          <w:sz w:val="32"/>
          <w:szCs w:val="32"/>
        </w:rPr>
      </w:pPr>
      <w:bookmarkStart w:id="45" w:name="_Toc30409"/>
      <w:r>
        <w:rPr>
          <w:rFonts w:hint="eastAsia" w:ascii="仿宋_GB2312" w:hAnsi="Times New Roman" w:eastAsia="仿宋_GB2312"/>
          <w:b/>
          <w:bCs/>
          <w:sz w:val="32"/>
          <w:szCs w:val="32"/>
        </w:rPr>
        <w:t>2.管理效率指标完成情况详细分析</w:t>
      </w:r>
      <w:bookmarkEnd w:id="45"/>
    </w:p>
    <w:p>
      <w:pPr>
        <w:spacing w:line="560" w:lineRule="exact"/>
        <w:ind w:firstLine="636" w:firstLineChars="198"/>
        <w:rPr>
          <w:rFonts w:ascii="仿宋_GB2312" w:hAnsi="仿宋_GB2312" w:eastAsia="仿宋_GB2312" w:cs="仿宋_GB2312"/>
          <w:b/>
          <w:sz w:val="32"/>
          <w:szCs w:val="32"/>
        </w:rPr>
      </w:pPr>
      <w:bookmarkStart w:id="46" w:name="_Hlk64972001"/>
      <w:r>
        <w:rPr>
          <w:rFonts w:hint="eastAsia" w:ascii="仿宋_GB2312" w:hAnsi="仿宋_GB2312" w:eastAsia="仿宋_GB2312" w:cs="仿宋_GB2312"/>
          <w:b/>
          <w:sz w:val="32"/>
          <w:szCs w:val="32"/>
        </w:rPr>
        <w:t>（1）战略规划管理</w:t>
      </w:r>
    </w:p>
    <w:bookmarkEnd w:id="46"/>
    <w:p>
      <w:pPr>
        <w:spacing w:line="560" w:lineRule="exact"/>
        <w:ind w:firstLine="640"/>
        <w:rPr>
          <w:rFonts w:ascii="仿宋_GB2312" w:hAnsi="仿宋_GB2312" w:eastAsia="仿宋_GB2312" w:cs="仿宋_GB2312"/>
          <w:b/>
          <w:sz w:val="32"/>
          <w:szCs w:val="32"/>
        </w:rPr>
      </w:pPr>
      <w:bookmarkStart w:id="47" w:name="_Hlk65070591"/>
      <w:r>
        <w:rPr>
          <w:rFonts w:hint="eastAsia" w:ascii="仿宋_GB2312" w:hAnsi="仿宋_GB2312" w:eastAsia="仿宋_GB2312" w:cs="仿宋_GB2312"/>
          <w:b/>
          <w:sz w:val="32"/>
          <w:szCs w:val="32"/>
        </w:rPr>
        <w:t>a）</w:t>
      </w:r>
      <w:bookmarkEnd w:id="47"/>
      <w:r>
        <w:rPr>
          <w:rFonts w:hint="eastAsia" w:ascii="仿宋_GB2312" w:hAnsi="仿宋_GB2312" w:eastAsia="仿宋_GB2312" w:cs="仿宋_GB2312"/>
          <w:b/>
          <w:sz w:val="32"/>
          <w:szCs w:val="32"/>
        </w:rPr>
        <w:t>中长期规划相符性（标准分值1分）</w:t>
      </w:r>
    </w:p>
    <w:p>
      <w:pPr>
        <w:spacing w:line="560" w:lineRule="exact"/>
        <w:ind w:firstLine="640"/>
        <w:rPr>
          <w:rFonts w:ascii="仿宋_GB2312" w:hAnsi="仿宋_GB2312" w:eastAsia="仿宋_GB2312" w:cs="仿宋_GB2312"/>
          <w:b/>
          <w:sz w:val="32"/>
          <w:szCs w:val="32"/>
        </w:rPr>
      </w:pPr>
      <w:r>
        <w:rPr>
          <w:rFonts w:hint="eastAsia" w:ascii="仿宋" w:hAnsi="仿宋" w:eastAsia="仿宋"/>
          <w:b/>
          <w:bCs/>
          <w:sz w:val="32"/>
          <w:szCs w:val="32"/>
        </w:rPr>
        <w:t>指标内容：</w:t>
      </w:r>
      <w:r>
        <w:rPr>
          <w:rFonts w:hint="eastAsia" w:ascii="仿宋_GB2312" w:hAnsi="仿宋" w:eastAsia="仿宋_GB2312" w:cs="楷体"/>
          <w:sz w:val="32"/>
          <w:szCs w:val="32"/>
        </w:rPr>
        <w:t>部门规划与国家、县委县政府战略的匹配性、与部门职能的相符性</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通过查阅石南镇人民政府2022年工作目标、工作总结和2023年工作计划，评析认为该部门活动目标与部门履职、年度工作任务的情况相符；部门活动的设定在部门所确定的职责范围之内。部门活动符合县委、县政府的发展规划及本部门的年度工作安排与发展规划。</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根据评分标准，该项指标得满分1分。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b）工作计划健全性（标准分值1分</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部门年度工作计划制定是否明确、具体、可操作，是否与部门职能和中长期规划相匹配。</w:t>
      </w:r>
    </w:p>
    <w:p>
      <w:pPr>
        <w:spacing w:line="560" w:lineRule="exact"/>
        <w:ind w:firstLine="643" w:firstLineChars="200"/>
        <w:rPr>
          <w:rFonts w:ascii="仿宋_GB2312" w:hAnsi="仿宋_GB2312" w:eastAsia="仿宋_GB2312" w:cs="仿宋_GB2312"/>
          <w:bCs/>
          <w:sz w:val="32"/>
          <w:szCs w:val="32"/>
        </w:rPr>
      </w:pPr>
      <w:bookmarkStart w:id="48" w:name="_Hlk64974159"/>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根据石南镇人民政府提供的绩效目标申报表、自评报告等资料，评析认为部门所设定的年度工作计划明确、具体、可操作性强，和部门职能及中长期规划比较匹配。</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根据评分标准，该项指标得分为0.75分。</w:t>
      </w:r>
    </w:p>
    <w:bookmarkEnd w:id="48"/>
    <w:p>
      <w:pPr>
        <w:spacing w:line="560" w:lineRule="exact"/>
        <w:ind w:firstLine="636" w:firstLineChars="198"/>
        <w:rPr>
          <w:rFonts w:ascii="仿宋_GB2312" w:hAnsi="仿宋_GB2312" w:eastAsia="仿宋_GB2312" w:cs="仿宋_GB2312"/>
          <w:b/>
          <w:sz w:val="32"/>
          <w:szCs w:val="32"/>
        </w:rPr>
      </w:pPr>
      <w:r>
        <w:rPr>
          <w:rFonts w:hint="eastAsia" w:ascii="仿宋_GB2312" w:hAnsi="仿宋_GB2312" w:eastAsia="仿宋_GB2312" w:cs="仿宋_GB2312"/>
          <w:b/>
          <w:sz w:val="32"/>
          <w:szCs w:val="32"/>
        </w:rPr>
        <w:t>（2）预算编制</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a）预算编制科学性（标准分值1分）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宋体"/>
          <w:b/>
          <w:sz w:val="32"/>
          <w:szCs w:val="32"/>
        </w:rPr>
        <w:t>指标内容：</w:t>
      </w:r>
      <w:r>
        <w:rPr>
          <w:rFonts w:hint="eastAsia" w:ascii="仿宋_GB2312" w:hAnsi="仿宋" w:eastAsia="仿宋_GB2312" w:cs="楷体"/>
          <w:sz w:val="32"/>
          <w:szCs w:val="32"/>
        </w:rPr>
        <w:t>预算编制的基本信息内容是否真实、完整、准确，基本支出预算是否按照规定标准编制;项目预算测算依据是否充分。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根据石南镇人民政府提供的2022年预算报表、预算公开等相关资料及询问工作人员。评析认为2022年度部门预算编制完整，基本支出预算按照规定标准编制，但未经科学论证,额度测算依据不够充分。</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根据评分标准，该指标得分为0.5分。</w:t>
      </w:r>
    </w:p>
    <w:p>
      <w:pPr>
        <w:spacing w:line="560" w:lineRule="exact"/>
        <w:ind w:firstLine="640"/>
        <w:rPr>
          <w:rFonts w:ascii="仿宋_GB2312" w:hAnsi="仿宋_GB2312" w:eastAsia="仿宋_GB2312" w:cs="仿宋_GB2312"/>
          <w:b/>
          <w:sz w:val="32"/>
          <w:szCs w:val="32"/>
        </w:rPr>
      </w:pPr>
      <w:r>
        <w:rPr>
          <w:rFonts w:hint="eastAsia" w:ascii="仿宋_GB2312" w:hAnsi="仿宋_GB2312" w:eastAsia="仿宋_GB2312" w:cs="仿宋_GB2312"/>
          <w:b/>
          <w:sz w:val="32"/>
          <w:szCs w:val="32"/>
        </w:rPr>
        <w:t>b）预算编制合理性（标准分值1分）</w:t>
      </w:r>
    </w:p>
    <w:p>
      <w:pPr>
        <w:spacing w:line="560" w:lineRule="exact"/>
        <w:ind w:firstLine="64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重点项目预算是否有保障;部门内部项目之间是否存在交叉重复。</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根据石南镇人民政府提供的2022年预算报表、预算公开等相关资料，石南镇2022年度未安排重点项目，不存在内部项目交叉混乱的情况。</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根据评分标准，该指标得分为1分。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c）立项规范性（标准分值1分</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各项目设立依据是否充分，是否按照规定的程序申请设立，事前是否经过必要的可行性研究、专家论证、风险评估、绩效评估、集体决策等。</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2022年度石南镇未设计项目计划与支出规划。不扣分。</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根据评分标准，该指标得分为1分。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d）预算调整率（标准分值2分）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部门(单位)本年度预算调整数与预算数之比。</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根据石南镇人民政府提供的2022年预算报表、预算公开等相关资料，2022年初石南镇部门整体支出预算数为774.84万元，调整预算数836.7万元，</w:t>
      </w:r>
      <w:r>
        <w:rPr>
          <w:rFonts w:hint="eastAsia" w:ascii="仿宋_GB2312" w:hAnsi="仿宋_GB2312" w:eastAsia="仿宋_GB2312" w:cs="仿宋_GB2312"/>
          <w:bCs/>
          <w:sz w:val="32"/>
          <w:szCs w:val="32"/>
        </w:rPr>
        <w:t>2022年度石南镇预算调整率=[（</w:t>
      </w:r>
      <w:r>
        <w:rPr>
          <w:rFonts w:hint="eastAsia" w:ascii="仿宋_GB2312" w:hAnsi="仿宋_GB2312" w:eastAsia="仿宋_GB2312" w:cs="仿宋_GB2312"/>
          <w:sz w:val="32"/>
          <w:szCs w:val="32"/>
        </w:rPr>
        <w:t>836.7</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774.84</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774.84</w:t>
      </w:r>
      <w:r>
        <w:rPr>
          <w:rFonts w:hint="eastAsia" w:ascii="仿宋_GB2312" w:hAnsi="仿宋_GB2312" w:eastAsia="仿宋_GB2312" w:cs="仿宋_GB2312"/>
          <w:bCs/>
          <w:sz w:val="32"/>
          <w:szCs w:val="32"/>
        </w:rPr>
        <w:t>]*100%=7.98%。</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根据评分标准，预算调整比率&gt;0%，每增加1%，扣5%权重分，该项指标得1.2分。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（3） 预算执行</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a）预算执行率（标准分值2分）</w:t>
      </w:r>
    </w:p>
    <w:p>
      <w:pPr>
        <w:spacing w:line="560" w:lineRule="exact"/>
        <w:ind w:firstLine="56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部门(单位)本年度预算完成数与调整预算数之比。</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2022年度石南镇基本支出预算数为836.7万元，基本支出决算数为836.7万元，基本支出预算执行率=（836.7/836.7）*100%=100%。2022年度石南镇项目支出预算数和决算数均为0，不扣分</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根据评分标准，该项指标得满分2分。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b）结转结余率（标准分值1分）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部门(单位)本年度结转结余总额与调整预算数之比。</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根据石南镇人民政府提供的2022年预算报表、预算公开等相关资料，2022年度石南镇结转结余总额为0，结转结余率</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836.7</w:t>
      </w:r>
      <w:r>
        <w:rPr>
          <w:rFonts w:ascii="仿宋_GB2312" w:hAnsi="仿宋_GB2312" w:eastAsia="仿宋_GB2312" w:cs="仿宋_GB2312"/>
          <w:sz w:val="32"/>
          <w:szCs w:val="32"/>
        </w:rPr>
        <w:t>=0%</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根据评分标准，该项指标得分为满分1分。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c）政府采购执行率（标准分值1分</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部门(单位)本年度实际政府采购金额与年初政府采购预算之比。</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2022年度石南镇无政府采购预算安排与执行，不扣分。</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d）非税收入预算完成率（标准分值1分）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部门(单位)本年度实际非税收入完成数与年初非税收入预算数之比。</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2022年度石南镇无非税收入预算安排，非税收入为0，不扣分</w:t>
      </w:r>
      <w:r>
        <w:rPr>
          <w:rFonts w:hint="eastAsia" w:ascii="仿宋_GB2312" w:hAnsi="仿宋_GB2312" w:eastAsia="仿宋_GB2312" w:cs="仿宋_GB2312"/>
          <w:bCs/>
          <w:sz w:val="32"/>
          <w:szCs w:val="32"/>
        </w:rPr>
        <w:t>。</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根据评分标准，该指标得分满分1分。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（4）绩效管理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a）事前绩效评估完成率（标准分值1分）</w:t>
      </w:r>
    </w:p>
    <w:p>
      <w:pPr>
        <w:spacing w:line="560" w:lineRule="exact"/>
        <w:ind w:firstLine="56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部门(单位)本年度开展事前绩效评估数量与新出台的申请财政资金200万元以上的重大政策和项目数量之比。</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2022年度石南镇未安排任何项目，不扣分。</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根据评分标准，该项指标得满分1分。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b）绩效目标合理性（标准分值1分）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①部门(单位)本年度项目支出(包括部门预算项目支出、省直专项支出、省对下转移支付、具有特定用途和具体使用目标的共同事权类一般性转移支付)是否设置绩效目标;是否设置部门整体绩效目标。②部门(单位)设置的绩效目标依据是否充分，是否符合客观实际是否符合部门制定的中长期规划和年度工作计划。</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石南镇人民政府2022年度无项目建设安排，已设置整体绩效目标。部门绩效目标设定依据均参考往年实现情况，酌情设定指标标准，符合部门制定的中长期规划和年度工作计划。</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根据评分标准，该项指标得分1分。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c）绩效监控开展率（标准分值1分</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部门(单位)本年度绩效运行监控的范围是否覆盖所管理的所有项目支出，包括部门预算项目 (不含不可预见费)、省直专项、省对下转移支付、具有特定用途和具体使用目标的共同事权类一般性转移支付;是否按期完成绩效运行监控汇总分析工作。</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2022年石南镇开展了绩效监控工作。</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d）绩效评价覆盖率（标准分值1分）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部门(单位)本年度是否对所管理的所有省级预算一级项目和二级项目开展部门自评，包括括部门预算项目 (不含不可预见费 )、省直专项、省对下转移支付、具有特定用途和具体使用目标的共同事权类般性转移支付;是否对本部门整体开展部门自评。</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2022年度石南镇人民政府已按规定要求对部门预算项目开展自评工作并及时提交。但未对年初所有设置的指标进行评价，如未对年初设置的财税收入增长指标7%进行完成情况评价。</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根据评分标准，该指标得分0.6分。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e）评价结果应用率（标准分值1分）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部门(单位)是否根据部门自评和财政评价结果进行整改，以前年度的评价结果是否在本年度编制预算时进行应用。</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2021年石南镇绩效自评结果为满分，2022年继续保持以前年度工作方式及态度。</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根据评分标准，该指标得1分。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（5）资产管理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a）资产管理制度健全性（标准分值1分）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部门(单位)为加强资产管理、规范资产管理行为而制定的管理制度是否完善。①是否制定资产配置、使用、处置、收益等相关制度办法。②是否制定资产管理内部控制制度或操作规程。</w:t>
      </w:r>
    </w:p>
    <w:p>
      <w:pPr>
        <w:spacing w:line="560" w:lineRule="exact"/>
        <w:ind w:firstLine="560"/>
        <w:rPr>
          <w:rFonts w:ascii="仿宋_GB2312" w:hAnsi="仿宋" w:eastAsia="仿宋_GB2312" w:cs="楷体"/>
          <w:sz w:val="32"/>
          <w:szCs w:val="32"/>
        </w:rPr>
      </w:pPr>
      <w:r>
        <w:rPr>
          <w:rFonts w:hint="eastAsia" w:ascii="仿宋_GB2312" w:hAnsi="仿宋_GB2312" w:eastAsia="仿宋_GB2312" w:cs="仿宋_GB2312"/>
          <w:b/>
          <w:sz w:val="32"/>
          <w:szCs w:val="32"/>
        </w:rPr>
        <w:t>评价分析：</w:t>
      </w:r>
      <w:r>
        <w:rPr>
          <w:rFonts w:hint="eastAsia" w:ascii="仿宋_GB2312" w:hAnsi="仿宋" w:eastAsia="仿宋_GB2312" w:cs="楷体"/>
          <w:sz w:val="32"/>
          <w:szCs w:val="32"/>
        </w:rPr>
        <w:t>根据石南镇人民政府提供的相关管理制度及查阅资金使用单位账簿和原始凭证，部门制定有财务管理、政府采购管理与资产管理等制度与办法；制定了包含资产管理模块的内部控制制度，并将这些制度梳理整合，汇编成册，且专门成立内控规范实施协调工作小组督促内控制度的执行。</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根据评分标准，该项指标得满分1分。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b）资产管理规范性（标准分值1分）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的资产是否保存完整、使用合规、配置合理、处置规范收入及时足额上缴。①是否按批复的预算配置资产，新购资产入库管理是否规范(如编制采购计划、进行采购审核、验收等)。②是否定期对现有资产进行盘点、对账，是否账实相符。③资产有偿使用和资产处置是否规范(批复、公开等)，所获收入是否及时足额上缴。</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根据石南镇人民政府提供的相关管理制度及查阅资金使用单位账簿和原始凭证，部门制定有财务管理、政府采购管理与资产管理等制度与办法；但资产管理存在不足，资产管理系统中存在公务用车一辆，型号为桑塔纳3000，车牌号鄂L53525,投入使用日期为2006年6月30日。但实际上根据现场核查，石南镇政府公务用车一辆，型号为东风本田CRV，车牌号鄂LW5199。与资产账面不符。</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根据评分标准，该项指标得分为0.7分。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（6）财务管理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a）财务管理制度健全性（标准分值1分）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为加强财务管理、规范财务行为而制定的管理制度是否健全完整，是否已制定或具有相应的财务管理内控制度，包括收入与支出管理、往来资金结算管理、现金及银行存款管理、财务监督管理政府采购管理、绩效管理等;财务管理制度是否合法、合规、完整。</w:t>
      </w:r>
    </w:p>
    <w:p>
      <w:pPr>
        <w:spacing w:line="560" w:lineRule="exact"/>
        <w:ind w:firstLine="560"/>
        <w:rPr>
          <w:rFonts w:ascii="仿宋_GB2312" w:hAnsi="仿宋" w:eastAsia="仿宋_GB2312" w:cs="楷体"/>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该单位管理制度健全完整，已制定相应的财务管理内控制度，其中包括合同管理、项目管理、收支业务管理、政府采购业务管理、预算管理、资产管理、内控评价与监督等制度或管理办法，制度合法、合规、完整</w:t>
      </w:r>
      <w:r>
        <w:rPr>
          <w:rFonts w:hint="eastAsia" w:ascii="仿宋_GB2312" w:hAnsi="仿宋" w:eastAsia="仿宋_GB2312" w:cs="楷体"/>
          <w:sz w:val="32"/>
          <w:szCs w:val="32"/>
        </w:rPr>
        <w:t>。</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根据评分标准，该项指标得满分1分。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b）会计核算规范性（标准分值1分）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部门(单位)的财务核算是否符合符合国家财经法规和财务管理制度及专项资金管理有关规定;部门(单位)基础数据信息和会计信息资料是否真实、准确、完整。</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该单位财务核算符合国家财经法规和财务管理制度及专项资金管理有关规定，但抽查凭证过程中发现以下问题：一是部分支出归类不够准确，存在部分会议餐费误记为招待费用的情况；二是部分附件缺失，如1月第93号凭证、10月第12号凭证等；三是库存现金数额过大，账面反映库存现金2,861,200元，实质为往年欠条，最长账龄达23年。</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根据评分标准，该项指标得分为0.4分。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c）资金使用规范性（标准分值1分）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使用预算资金是否符合国家财经法规和财务管理制度以及有关专项资金管理办法的规定;是否存在截留、挤占、挪用、虚列支出等情况;资金拨付是否有完整的审批程序和手续;公用经费是否存在超标准支出情况，项目支出与公用经费是否存在交叉重复。</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该单位使用预算资金符合国家财经法规和财务管理制度以及有关专项资金管理办法的规定，资金拨付有完整的审批程序和手续，公用经费不存在超标准支出情况，不存在项目支出与公用经费交叉重复。</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根据评分标准，该项指标得分为1分。</w:t>
      </w:r>
    </w:p>
    <w:p>
      <w:pPr>
        <w:pStyle w:val="2"/>
        <w:spacing w:line="560" w:lineRule="exact"/>
        <w:ind w:firstLine="643" w:firstLineChars="200"/>
        <w:outlineLvl w:val="2"/>
        <w:rPr>
          <w:rFonts w:ascii="仿宋_GB2312" w:hAnsi="Times New Roman" w:eastAsia="仿宋_GB2312"/>
          <w:b/>
          <w:bCs/>
          <w:sz w:val="32"/>
          <w:szCs w:val="32"/>
        </w:rPr>
      </w:pPr>
      <w:bookmarkStart w:id="49" w:name="_Toc3115"/>
      <w:r>
        <w:rPr>
          <w:rFonts w:hint="eastAsia" w:ascii="仿宋_GB2312" w:hAnsi="Times New Roman" w:eastAsia="仿宋_GB2312"/>
          <w:b/>
          <w:bCs/>
          <w:sz w:val="32"/>
          <w:szCs w:val="32"/>
        </w:rPr>
        <w:t>3.履职效能指标完成情况详细分析</w:t>
      </w:r>
      <w:bookmarkEnd w:id="49"/>
    </w:p>
    <w:p>
      <w:pPr>
        <w:spacing w:line="560" w:lineRule="exact"/>
        <w:ind w:firstLine="615"/>
        <w:rPr>
          <w:rFonts w:ascii="仿宋_GB2312" w:hAnsi="仿宋" w:eastAsia="仿宋_GB2312" w:cs="楷体"/>
          <w:b/>
          <w:bCs/>
          <w:sz w:val="32"/>
          <w:szCs w:val="32"/>
        </w:rPr>
      </w:pPr>
      <w:bookmarkStart w:id="50" w:name="_Toc27076"/>
      <w:bookmarkStart w:id="51" w:name="_Toc10409"/>
      <w:bookmarkStart w:id="52" w:name="_Hlk64983898"/>
      <w:r>
        <w:rPr>
          <w:rFonts w:hint="eastAsia" w:ascii="仿宋_GB2312" w:hAnsi="仿宋" w:eastAsia="仿宋_GB2312" w:cs="楷体"/>
          <w:b/>
          <w:bCs/>
          <w:sz w:val="32"/>
          <w:szCs w:val="32"/>
        </w:rPr>
        <w:t>(1)经济发展</w:t>
      </w:r>
      <w:bookmarkEnd w:id="50"/>
    </w:p>
    <w:p>
      <w:pPr>
        <w:spacing w:line="560" w:lineRule="exact"/>
        <w:ind w:firstLine="643" w:firstLineChars="200"/>
        <w:rPr>
          <w:rFonts w:ascii="仿宋" w:hAnsi="仿宋" w:eastAsia="仿宋"/>
          <w:b/>
          <w:sz w:val="32"/>
          <w:szCs w:val="32"/>
        </w:rPr>
      </w:pPr>
      <w:r>
        <w:rPr>
          <w:rFonts w:hint="eastAsia" w:ascii="仿宋" w:hAnsi="仿宋" w:eastAsia="仿宋"/>
          <w:b/>
          <w:sz w:val="32"/>
          <w:szCs w:val="32"/>
        </w:rPr>
        <w:t>经济复苏与税收成效（标准分值6分）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rPr>
        <w:t xml:space="preserve"> </w:t>
      </w:r>
      <w:r>
        <w:rPr>
          <w:rFonts w:hint="eastAsia" w:ascii="仿宋_GB2312" w:hAnsi="仿宋" w:eastAsia="仿宋_GB2312" w:cs="楷体"/>
          <w:sz w:val="32"/>
          <w:szCs w:val="32"/>
        </w:rPr>
        <w:t>部门职责履行及重点工作完成情况。主要考核部门对职责范围内提供的核心公共产品和公共服务；完成中央、省委省政府战略目标情况。</w:t>
      </w:r>
    </w:p>
    <w:p>
      <w:pPr>
        <w:spacing w:line="560" w:lineRule="exact"/>
        <w:ind w:firstLine="643" w:firstLineChars="200"/>
        <w:rPr>
          <w:rFonts w:ascii="仿宋_GB2312" w:hAnsi="仿宋_GB2312" w:eastAsia="仿宋_GB2312" w:cs="仿宋_GB2312"/>
          <w:color w:val="000000"/>
          <w:sz w:val="32"/>
          <w:szCs w:val="32"/>
        </w:rPr>
      </w:pPr>
      <w:r>
        <w:rPr>
          <w:rFonts w:hint="eastAsia" w:ascii="仿宋_GB2312" w:hAnsi="仿宋_GB2312" w:eastAsia="仿宋_GB2312" w:cs="仿宋_GB2312"/>
          <w:b/>
          <w:bCs/>
          <w:sz w:val="32"/>
          <w:szCs w:val="32"/>
        </w:rPr>
        <w:t>指标分析：</w:t>
      </w:r>
      <w:bookmarkEnd w:id="51"/>
      <w:bookmarkEnd w:id="52"/>
      <w:r>
        <w:rPr>
          <w:rFonts w:hint="eastAsia" w:ascii="仿宋_GB2312" w:hAnsi="仿宋_GB2312" w:eastAsia="仿宋_GB2312" w:cs="仿宋_GB2312"/>
          <w:color w:val="000000"/>
          <w:sz w:val="32"/>
          <w:szCs w:val="32"/>
        </w:rPr>
        <w:t>根据石南镇人民政府提供的工作总结、绩效自评及其他资料，2022年，石南镇全力推进工业项目稳步发展，工业经济项目建设完成征地191.76亩，包括砂布小镇孵化园区125.76亩，鑫城搅拌站项目16亩，中天科技新能源汽车项目50亩，加强砂布小镇基础设施建设，完成砂布小镇附属设施建设污水管网4,000多米，提升其承载能力，并致力优化营商环境，不断加强企业跟踪服务，大力保障中天科技新能源、鑫诚年产30万吨干混砂浆、湖北平升水泥制品、玉立集团新型砂带等重点项目切实发挥经济效益。税收成效方面，2022年石南镇税收收入未达成增长</w:t>
      </w:r>
      <w:r>
        <w:rPr>
          <w:rFonts w:hint="eastAsia" w:ascii="仿宋_GB2312" w:hAnsi="仿宋_GB2312" w:eastAsia="仿宋_GB2312" w:cs="仿宋_GB2312"/>
          <w:sz w:val="32"/>
          <w:szCs w:val="32"/>
        </w:rPr>
        <w:t>。</w:t>
      </w:r>
    </w:p>
    <w:p>
      <w:pPr>
        <w:spacing w:line="560" w:lineRule="exact"/>
        <w:ind w:firstLine="615"/>
        <w:rPr>
          <w:rFonts w:ascii="仿宋_GB2312" w:hAnsi="仿宋_GB2312" w:eastAsia="仿宋_GB2312" w:cs="仿宋_GB2312"/>
          <w:sz w:val="32"/>
          <w:szCs w:val="32"/>
        </w:rPr>
      </w:pPr>
      <w:r>
        <w:rPr>
          <w:rFonts w:hint="eastAsia" w:ascii="仿宋_GB2312" w:hAnsi="仿宋_GB2312" w:eastAsia="仿宋_GB2312" w:cs="仿宋_GB2312"/>
          <w:b/>
          <w:bCs/>
          <w:sz w:val="32"/>
          <w:szCs w:val="32"/>
        </w:rPr>
        <w:t>评价得分：</w:t>
      </w:r>
      <w:r>
        <w:rPr>
          <w:rFonts w:hint="eastAsia" w:ascii="仿宋_GB2312" w:hAnsi="仿宋_GB2312" w:eastAsia="仿宋_GB2312" w:cs="仿宋_GB2312"/>
          <w:sz w:val="32"/>
          <w:szCs w:val="32"/>
        </w:rPr>
        <w:t>根据评分标准，石南镇2022年度经济复苏完成情况较好，该项指标得分为3分。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（2）乡村振兴</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巩固脱贫衔接乡村振兴成效（标准分值6分）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 xml:space="preserve"> 部门职责履行及重点工作完成情况。主要考核部门对职责范围内提供的核心公共产品和公共服务；完成中央、省委省政府战略目标情况。</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bCs/>
          <w:sz w:val="32"/>
          <w:szCs w:val="32"/>
        </w:rPr>
        <w:t>指标分析：</w:t>
      </w:r>
      <w:bookmarkStart w:id="53" w:name="_Hlk65003343"/>
      <w:bookmarkStart w:id="54" w:name="_Toc23818"/>
      <w:r>
        <w:rPr>
          <w:rFonts w:hint="eastAsia" w:ascii="仿宋_GB2312" w:hAnsi="仿宋_GB2312" w:eastAsia="仿宋_GB2312" w:cs="仿宋_GB2312"/>
          <w:color w:val="000000"/>
          <w:sz w:val="32"/>
          <w:szCs w:val="32"/>
        </w:rPr>
        <w:t>根据石南镇人民政府提供的工作总结、绩效自评及其他资料，2022年，石南镇聚焦返贫抓排查。全面摸排，切实落实防返贫动态监测，重点关注八类重点人群和特殊群体，共计排查全镇居民（村民）8,412户，做到对走访对象家庭情况、帮扶需求、意见建议全面梳理，做到早发现、早研判、早帮扶。推进并完成建设衔接资金项目共7个，项目投资总规模279.5万元，通过衔接资金项目促进乡村振兴工作质效提升。</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评价得分：</w:t>
      </w:r>
      <w:r>
        <w:rPr>
          <w:rFonts w:hint="eastAsia" w:ascii="仿宋_GB2312" w:hAnsi="仿宋_GB2312" w:eastAsia="仿宋_GB2312" w:cs="仿宋_GB2312"/>
          <w:sz w:val="32"/>
          <w:szCs w:val="32"/>
        </w:rPr>
        <w:t>根据评分标准，该项指标得分为6分。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（3）疫情防控</w:t>
      </w:r>
    </w:p>
    <w:p>
      <w:pPr>
        <w:spacing w:line="560" w:lineRule="exact"/>
        <w:ind w:firstLine="615"/>
        <w:rPr>
          <w:rFonts w:ascii="仿宋_GB2312" w:hAnsi="仿宋" w:eastAsia="仿宋_GB2312" w:cs="楷体"/>
          <w:b/>
          <w:bCs/>
          <w:sz w:val="32"/>
          <w:szCs w:val="32"/>
        </w:rPr>
      </w:pPr>
      <w:r>
        <w:rPr>
          <w:rFonts w:hint="eastAsia" w:ascii="仿宋_GB2312" w:hAnsi="仿宋" w:eastAsia="仿宋_GB2312" w:cs="楷体"/>
          <w:b/>
          <w:bCs/>
          <w:sz w:val="32"/>
          <w:szCs w:val="32"/>
        </w:rPr>
        <w:t>疫情防控成效（标准分值6分）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 xml:space="preserve">指标内容: </w:t>
      </w:r>
      <w:r>
        <w:rPr>
          <w:rFonts w:hint="eastAsia" w:ascii="仿宋_GB2312" w:hAnsi="仿宋" w:eastAsia="仿宋_GB2312" w:cs="楷体"/>
          <w:sz w:val="32"/>
          <w:szCs w:val="32"/>
        </w:rPr>
        <w:t>部门职责履行及重点工作完成情况。主要考核部门对职责范围内提供的核心公共产品和公共服务；完成中央、省委省政府战略目标情况。</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bCs/>
          <w:sz w:val="32"/>
          <w:szCs w:val="32"/>
        </w:rPr>
        <w:t>指标分析：</w:t>
      </w:r>
      <w:r>
        <w:rPr>
          <w:rFonts w:hint="eastAsia" w:ascii="仿宋_GB2312" w:hAnsi="仿宋_GB2312" w:eastAsia="仿宋_GB2312" w:cs="仿宋_GB2312"/>
          <w:color w:val="000000"/>
          <w:sz w:val="32"/>
          <w:szCs w:val="32"/>
        </w:rPr>
        <w:t>根据石南镇人民政府提供的工作总结、自评报告及其他相关资料，扎实开展疫情防控工作，疫情期间先后组织镇机关干部、村干部、镇直部门工作人员共计53人参加值守工作，严格落实“六必查”，强化“落地查、落地检、落地管”措施，守好第一道关口，紧盯重点人员、重点场所、重点链条，充分发挥中心户长的“疫情防控排查员”作用，加大流调排查力度，累计排查在外务工及来返隽人员共23万人次，阻断疫情传播链条。评析认为2022年度该部门有效落实了疫情防控措施，疫情排查及疫苗接种均高效推进。</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评价得分：</w:t>
      </w:r>
      <w:r>
        <w:rPr>
          <w:rFonts w:hint="eastAsia" w:ascii="仿宋_GB2312" w:hAnsi="仿宋_GB2312" w:eastAsia="仿宋_GB2312" w:cs="仿宋_GB2312"/>
          <w:sz w:val="32"/>
          <w:szCs w:val="32"/>
        </w:rPr>
        <w:t>该项指标得分为满分6分。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（4）社会治理</w:t>
      </w:r>
    </w:p>
    <w:p>
      <w:pPr>
        <w:spacing w:line="560" w:lineRule="exact"/>
        <w:ind w:firstLine="615"/>
        <w:rPr>
          <w:rFonts w:ascii="仿宋" w:hAnsi="仿宋" w:eastAsia="仿宋" w:cs="楷体"/>
          <w:b/>
          <w:bCs/>
          <w:sz w:val="32"/>
          <w:szCs w:val="32"/>
        </w:rPr>
      </w:pPr>
      <w:r>
        <w:rPr>
          <w:rFonts w:hint="eastAsia" w:ascii="仿宋" w:hAnsi="仿宋" w:eastAsia="仿宋" w:cs="楷体"/>
          <w:b/>
          <w:bCs/>
          <w:sz w:val="32"/>
          <w:szCs w:val="32"/>
        </w:rPr>
        <w:t>社会治理成效（标准分值6分）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宋体"/>
          <w:b/>
          <w:sz w:val="32"/>
          <w:szCs w:val="32"/>
        </w:rPr>
        <w:t>指标内容:</w:t>
      </w:r>
      <w:r>
        <w:rPr>
          <w:rFonts w:hint="eastAsia"/>
        </w:rPr>
        <w:t xml:space="preserve"> </w:t>
      </w:r>
      <w:r>
        <w:rPr>
          <w:rFonts w:hint="eastAsia" w:ascii="仿宋_GB2312" w:hAnsi="仿宋" w:eastAsia="仿宋_GB2312" w:cs="楷体"/>
          <w:sz w:val="32"/>
          <w:szCs w:val="32"/>
        </w:rPr>
        <w:t>部门职责履行及重点工作完成情况。主要考核部门对职责范围内提供的核心公共产品和公共服务；完成中央、省委省政府战略目标情况。</w:t>
      </w:r>
    </w:p>
    <w:p>
      <w:pPr>
        <w:spacing w:line="560" w:lineRule="exact"/>
        <w:ind w:firstLine="643" w:firstLineChars="200"/>
        <w:rPr>
          <w:rFonts w:ascii="仿宋_GB2312" w:hAnsi="仿宋" w:eastAsia="仿宋_GB2312" w:cs="楷体"/>
          <w:sz w:val="32"/>
          <w:szCs w:val="32"/>
        </w:rPr>
      </w:pPr>
      <w:r>
        <w:rPr>
          <w:rFonts w:hint="eastAsia" w:ascii="仿宋_GB2312" w:hAnsi="仿宋_GB2312" w:eastAsia="仿宋_GB2312" w:cs="仿宋_GB2312"/>
          <w:b/>
          <w:bCs/>
          <w:sz w:val="32"/>
          <w:szCs w:val="32"/>
        </w:rPr>
        <w:t>指标分析：</w:t>
      </w:r>
      <w:r>
        <w:rPr>
          <w:rFonts w:hint="eastAsia" w:ascii="仿宋_GB2312" w:hAnsi="仿宋" w:eastAsia="仿宋_GB2312" w:cs="楷体"/>
          <w:sz w:val="32"/>
          <w:szCs w:val="32"/>
        </w:rPr>
        <w:t>根据石南镇人民政府提供的工作总结、自评报告及其他相关资料，本年度部门换届顺利完成。公共服务水平不断提升，完成主干道刷黑4.5公里，全镇村级道路完成硬化、拓宽9.8公里，新建水泥路9公里；维修加固了石南桥和双拱桥，重建了土坳桥和汤家畈桥，保障居民出行的便利性与安全性。设计环卫奖惩评比制度，对各村清洁工作进行考评，创新性的实行积分制管理，对环卫工作的促进效果明显，村容村貌显著提升。花亭村、杨山村的村貌提升均被省级媒体报道。同时，石南镇人民政府着力构建“平安社会”。石南镇政法办协同镇派出所、司法所、卫生院、民政办、电信部门等部门和各村（社区），建立多部门协同合作的政法综治联合工作专班，确保镇政法工作信息畅通、部门协作、联合推动、迅速落地；全镇精神障碍患者248人，在册吸毒人员155人，在册矫正对象7人，在册刑满释放对象107人，管理全覆盖，定期组织上门走访和电话联系，了解人员动态；以规范化、标准化的综治中心为平台，进行矛盾纠纷“大走访、大排查、大化解”等活动，确保矛盾纠纷及时化解不上交；开展“雷火2022”专项行动共打击整治突出治安问题12个，打击治理电信网络诈骗违法犯罪8个，辖区内全年无拐卖妇女儿童犯罪情况。治下樊店村村委会、仙姑村村委会获得2022年通城县维稳安保工作先进集体表扬。评析认为石南镇较好地完成了本年度社会治理工作</w:t>
      </w:r>
      <w:r>
        <w:rPr>
          <w:rFonts w:hint="eastAsia" w:ascii="仿宋_GB2312" w:eastAsia="仿宋_GB2312"/>
          <w:sz w:val="32"/>
          <w:szCs w:val="32"/>
        </w:rPr>
        <w:t>。</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评价得分：</w:t>
      </w:r>
      <w:r>
        <w:rPr>
          <w:rFonts w:hint="eastAsia" w:ascii="仿宋_GB2312" w:hAnsi="仿宋_GB2312" w:eastAsia="仿宋_GB2312" w:cs="仿宋_GB2312"/>
          <w:sz w:val="32"/>
          <w:szCs w:val="32"/>
        </w:rPr>
        <w:t>根据评分标准，该项指标得分为6分。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（5）</w:t>
      </w:r>
      <w:r>
        <w:rPr>
          <w:rFonts w:hint="eastAsia" w:ascii="仿宋_GB2312" w:hAnsi="仿宋" w:eastAsia="仿宋_GB2312" w:cs="楷体"/>
          <w:b/>
          <w:bCs/>
          <w:sz w:val="32"/>
          <w:szCs w:val="32"/>
        </w:rPr>
        <w:t>生态建设</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生态建设成效（标准分值6分）</w:t>
      </w:r>
    </w:p>
    <w:p>
      <w:pPr>
        <w:spacing w:line="560" w:lineRule="exact"/>
        <w:ind w:firstLine="643" w:firstLineChars="200"/>
        <w:rPr>
          <w:rFonts w:ascii="仿宋_GB2312" w:hAnsi="仿宋_GB2312" w:eastAsia="仿宋_GB2312" w:cs="仿宋_GB2312"/>
          <w:b/>
          <w:sz w:val="32"/>
          <w:szCs w:val="32"/>
        </w:rPr>
      </w:pPr>
      <w:r>
        <w:rPr>
          <w:rFonts w:hint="eastAsia" w:ascii="仿宋" w:hAnsi="仿宋" w:eastAsia="仿宋" w:cs="楷体"/>
          <w:b/>
          <w:sz w:val="32"/>
          <w:szCs w:val="32"/>
        </w:rPr>
        <w:t xml:space="preserve">指标内容: </w:t>
      </w:r>
      <w:r>
        <w:rPr>
          <w:rFonts w:hint="eastAsia" w:ascii="仿宋_GB2312" w:hAnsi="仿宋" w:eastAsia="仿宋_GB2312" w:cs="楷体"/>
          <w:sz w:val="32"/>
          <w:szCs w:val="32"/>
        </w:rPr>
        <w:t>部门职责履行及重点工作完成情况。主要考核部门对职责范围内提供的核心公共产品和公共服务；完成中央、省委省政府战略目标情况。</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bCs/>
          <w:sz w:val="32"/>
          <w:szCs w:val="32"/>
        </w:rPr>
        <w:t>指标分析：</w:t>
      </w:r>
      <w:r>
        <w:rPr>
          <w:rFonts w:hint="eastAsia" w:ascii="仿宋_GB2312" w:hAnsi="仿宋" w:eastAsia="仿宋_GB2312" w:cs="楷体"/>
          <w:sz w:val="32"/>
          <w:szCs w:val="32"/>
        </w:rPr>
        <w:t>根据石南镇人民政府提供的工作总结、自评报告及其他相关资料，2022年石南镇政府组织机械、人力对左港东、西干渠开展清淤，全面疏通“肠梗阻”，既缓解了旱情给农业灌溉，又改善了人居环境。加强矿产资源保护，制止非法采沙洗沙6起。对于各村摸排出来的抛荒耕地，明确方式，分类实施，累计下发《关于抛荒耕地限期翻耕恢复耕种的告知书》500余份，督促农户开展粮食生产，结合企业代种、合作社、种粮大户流转耕种等方式，1,376.36亩的抛荒耕地全部复耕复种到位。严格保护耕地、林地不受破坏。较好地完成了本年度生态建设工作</w:t>
      </w:r>
      <w:r>
        <w:rPr>
          <w:rFonts w:hint="eastAsia" w:ascii="仿宋_GB2312" w:hAnsi="仿宋_GB2312" w:eastAsia="仿宋_GB2312" w:cs="仿宋_GB2312"/>
          <w:color w:val="000000"/>
          <w:kern w:val="0"/>
          <w:sz w:val="32"/>
          <w:szCs w:val="32"/>
          <w:lang w:bidi="zh-TW"/>
        </w:rPr>
        <w:t>。</w:t>
      </w:r>
    </w:p>
    <w:p>
      <w:pPr>
        <w:spacing w:line="560" w:lineRule="exact"/>
        <w:ind w:firstLine="643" w:firstLineChars="200"/>
      </w:pPr>
      <w:r>
        <w:rPr>
          <w:rFonts w:hint="eastAsia" w:ascii="仿宋_GB2312" w:hAnsi="仿宋_GB2312" w:eastAsia="仿宋_GB2312" w:cs="仿宋_GB2312"/>
          <w:b/>
          <w:bCs/>
          <w:sz w:val="32"/>
          <w:szCs w:val="32"/>
        </w:rPr>
        <w:t>评价得分：</w:t>
      </w:r>
      <w:r>
        <w:rPr>
          <w:rFonts w:hint="eastAsia" w:ascii="仿宋_GB2312" w:hAnsi="仿宋_GB2312" w:eastAsia="仿宋_GB2312" w:cs="仿宋_GB2312"/>
          <w:sz w:val="32"/>
          <w:szCs w:val="32"/>
        </w:rPr>
        <w:t>根据评分标准，该项指标得分为6分。</w:t>
      </w:r>
    </w:p>
    <w:bookmarkEnd w:id="53"/>
    <w:bookmarkEnd w:id="54"/>
    <w:p>
      <w:pPr>
        <w:pStyle w:val="2"/>
        <w:spacing w:line="560" w:lineRule="exact"/>
        <w:ind w:firstLine="643" w:firstLineChars="200"/>
        <w:outlineLvl w:val="2"/>
        <w:rPr>
          <w:rFonts w:ascii="仿宋_GB2312" w:hAnsi="Times New Roman" w:eastAsia="仿宋_GB2312"/>
          <w:b/>
          <w:bCs/>
          <w:sz w:val="32"/>
          <w:szCs w:val="32"/>
        </w:rPr>
      </w:pPr>
      <w:bookmarkStart w:id="55" w:name="_Toc8528"/>
      <w:r>
        <w:rPr>
          <w:rFonts w:hint="eastAsia" w:ascii="仿宋_GB2312" w:hAnsi="Times New Roman" w:eastAsia="仿宋_GB2312"/>
          <w:b/>
          <w:bCs/>
          <w:sz w:val="32"/>
          <w:szCs w:val="32"/>
        </w:rPr>
        <w:t>4.社会效应指标完成情况详细分析</w:t>
      </w:r>
      <w:bookmarkEnd w:id="55"/>
    </w:p>
    <w:p>
      <w:pPr>
        <w:spacing w:line="560" w:lineRule="exact"/>
        <w:ind w:firstLine="600"/>
        <w:rPr>
          <w:rFonts w:ascii="仿宋_GB2312" w:hAnsi="仿宋_GB2312" w:eastAsia="仿宋_GB2312" w:cs="仿宋_GB2312"/>
          <w:b/>
          <w:sz w:val="32"/>
          <w:szCs w:val="32"/>
        </w:rPr>
      </w:pPr>
      <w:r>
        <w:rPr>
          <w:rFonts w:hint="eastAsia" w:ascii="仿宋_GB2312" w:hAnsi="仿宋_GB2312" w:eastAsia="仿宋_GB2312" w:cs="仿宋_GB2312"/>
          <w:b/>
          <w:sz w:val="32"/>
          <w:szCs w:val="32"/>
        </w:rPr>
        <w:t>（1）经济效益</w:t>
      </w:r>
    </w:p>
    <w:p>
      <w:pPr>
        <w:spacing w:line="560" w:lineRule="exact"/>
        <w:ind w:firstLine="615"/>
        <w:rPr>
          <w:rFonts w:ascii="仿宋_GB2312" w:hAnsi="仿宋" w:eastAsia="仿宋_GB2312" w:cs="楷体"/>
          <w:b/>
          <w:bCs/>
          <w:sz w:val="32"/>
          <w:szCs w:val="32"/>
        </w:rPr>
      </w:pPr>
      <w:bookmarkStart w:id="56" w:name="_Toc9586"/>
      <w:bookmarkStart w:id="57" w:name="_Toc110494967"/>
      <w:bookmarkStart w:id="58" w:name="_Toc17433"/>
      <w:bookmarkStart w:id="59" w:name="_Toc110603986"/>
      <w:r>
        <w:rPr>
          <w:rFonts w:hint="eastAsia" w:ascii="仿宋_GB2312" w:hAnsi="仿宋" w:eastAsia="仿宋_GB2312" w:cs="楷体"/>
          <w:b/>
          <w:bCs/>
          <w:sz w:val="32"/>
          <w:szCs w:val="32"/>
        </w:rPr>
        <w:t>促进经济发展（标准分值10分）</w:t>
      </w:r>
      <w:bookmarkEnd w:id="56"/>
      <w:bookmarkEnd w:id="57"/>
      <w:bookmarkEnd w:id="58"/>
      <w:bookmarkEnd w:id="59"/>
    </w:p>
    <w:p>
      <w:pPr>
        <w:spacing w:line="560" w:lineRule="exact"/>
        <w:ind w:firstLine="560"/>
        <w:rPr>
          <w:rFonts w:ascii="仿宋_GB2312" w:hAnsi="仿宋_GB2312" w:eastAsia="仿宋_GB2312" w:cs="仿宋_GB2312"/>
          <w:b/>
          <w:sz w:val="32"/>
          <w:szCs w:val="32"/>
        </w:rPr>
      </w:pPr>
      <w:r>
        <w:rPr>
          <w:rFonts w:hint="eastAsia" w:ascii="仿宋_GB2312" w:hAnsi="仿宋" w:eastAsia="仿宋_GB2312" w:cs="楷体"/>
          <w:b/>
          <w:sz w:val="32"/>
          <w:szCs w:val="32"/>
        </w:rPr>
        <w:t xml:space="preserve">指标内容: </w:t>
      </w:r>
      <w:r>
        <w:rPr>
          <w:rFonts w:hint="eastAsia" w:ascii="仿宋_GB2312" w:hAnsi="仿宋" w:eastAsia="仿宋_GB2312" w:cs="楷体"/>
          <w:sz w:val="32"/>
          <w:szCs w:val="32"/>
        </w:rPr>
        <w:t>部门履职对当地经济带来的直接与间接影响。</w:t>
      </w:r>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 w:eastAsia="仿宋_GB2312" w:cs="楷体"/>
          <w:sz w:val="32"/>
          <w:szCs w:val="32"/>
        </w:rPr>
        <w:t>2022年，石南镇人民政府全力推进以种养业为主的第一产业，完成新建标准化油茶产业基地455.5亩，新建标准化茶园产业基地90亩，新建及改造标准化中药材产业基地500亩；巩固发展村级电商物流站点9个，截止到12月，共帮助农户销售农副产品27.99万元；在全县率先成立了通城县惠民种养殖专业合作社联合社，为社员提供种养殖技术培训、农资农机优惠、帮助销售农副产品等便利，加入联合社社员1,321户，5,547人，其中脱贫户、监测户645户，2,265人；同时积极培育新型农业经营主体，增强联农带农能力，全年净增市场主体191户，带动脱贫人口和监测对象276人。为切实解决脱贫劳动力就业问题，带动脱贫户、监测户增收，石南镇还开展了一系列帮扶工作：落实公益性岗位安置221人；开展“民营企业招聘月”和“送岗上门”活动，达成务工意向17人；建立合作社招工平台，及时收集和发布招工需求；加大种养殖从业宣传，1,173户发展家庭种养殖业并申报到户产业奖补资金，全年发放产业奖补资金131.36万元。一系列举措给石南镇带来的经济发展影响良好，但在人均增收这一方面仍存在些许不足</w:t>
      </w:r>
      <w:r>
        <w:rPr>
          <w:rFonts w:hint="eastAsia" w:ascii="仿宋_GB2312" w:hAnsi="仿宋_GB2312" w:eastAsia="仿宋_GB2312" w:cs="仿宋_GB2312"/>
          <w:sz w:val="32"/>
          <w:szCs w:val="32"/>
        </w:rPr>
        <w:t>。</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_GB2312" w:eastAsia="仿宋_GB2312" w:cs="仿宋_GB2312"/>
          <w:bCs/>
          <w:sz w:val="32"/>
          <w:szCs w:val="32"/>
        </w:rPr>
        <w:t>该项指标得分为8分。</w:t>
      </w:r>
    </w:p>
    <w:p>
      <w:pPr>
        <w:spacing w:line="560" w:lineRule="exact"/>
        <w:ind w:firstLine="600"/>
        <w:rPr>
          <w:rFonts w:ascii="仿宋_GB2312" w:hAnsi="仿宋_GB2312" w:eastAsia="仿宋_GB2312" w:cs="仿宋_GB2312"/>
          <w:b/>
          <w:sz w:val="32"/>
          <w:szCs w:val="32"/>
        </w:rPr>
      </w:pPr>
      <w:r>
        <w:rPr>
          <w:rFonts w:hint="eastAsia" w:ascii="仿宋_GB2312" w:hAnsi="仿宋_GB2312" w:eastAsia="仿宋_GB2312" w:cs="仿宋_GB2312"/>
          <w:b/>
          <w:sz w:val="32"/>
          <w:szCs w:val="32"/>
        </w:rPr>
        <w:t>（2）社会效益</w:t>
      </w:r>
    </w:p>
    <w:p>
      <w:pPr>
        <w:spacing w:line="560" w:lineRule="exact"/>
        <w:ind w:firstLine="615"/>
        <w:rPr>
          <w:rFonts w:ascii="仿宋_GB2312" w:hAnsi="仿宋" w:eastAsia="仿宋_GB2312" w:cs="楷体"/>
          <w:b/>
          <w:bCs/>
          <w:sz w:val="32"/>
          <w:szCs w:val="32"/>
        </w:rPr>
      </w:pPr>
      <w:bookmarkStart w:id="60" w:name="_Toc12465"/>
      <w:bookmarkStart w:id="61" w:name="_Toc110603988"/>
      <w:bookmarkStart w:id="62" w:name="_Toc110494969"/>
      <w:bookmarkStart w:id="63" w:name="_Toc8389"/>
      <w:r>
        <w:rPr>
          <w:rFonts w:hint="eastAsia" w:ascii="仿宋_GB2312" w:hAnsi="仿宋" w:eastAsia="仿宋_GB2312" w:cs="楷体"/>
          <w:b/>
          <w:bCs/>
          <w:sz w:val="32"/>
          <w:szCs w:val="32"/>
        </w:rPr>
        <w:t>优化社会事业（标准分值10分）</w:t>
      </w:r>
      <w:bookmarkEnd w:id="60"/>
      <w:bookmarkEnd w:id="61"/>
      <w:bookmarkEnd w:id="62"/>
      <w:bookmarkEnd w:id="63"/>
    </w:p>
    <w:p>
      <w:pPr>
        <w:spacing w:line="560" w:lineRule="exact"/>
        <w:ind w:firstLine="6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 xml:space="preserve"> 部门履职对当地社会带来的直接与间接影响。</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 w:eastAsia="仿宋_GB2312" w:cs="楷体"/>
          <w:sz w:val="32"/>
          <w:szCs w:val="32"/>
        </w:rPr>
        <w:t>2022年，石南镇共发放低保金307.35万元；发放五保户供养金267.72万元；临时救助251人次，发放临时救助金28.21万元；通过入户核查，动态调整新增低保户37户60人，取消暂停39户59人，做到应保尽保，应退尽退；为全镇390名三留守人员建立了档案，构建三五关爱网络，每月定期探访，大力实施关爱行动，让留守儿童、留守妇女、留守老人感受到党和政府的关怀和关心。加强各领域安全生产排查整治。严管校园及周边环境安全，组织专班不定期对校园及周边环境进行排查，发现隐患问题3个，全部整改到位；对人员密集场所、“三合一”场所以及高层建筑的消防安全开展检查，共发现灭火器等消防安全隐患问题5起，处置隐患5起；严抓森林防火工作，出动宣传车89辆次,发放资料5万余份,张贴悬挂各种标语、横幅1,500余条，群众受教育面达90%以上，67名护林员在防火紧要期和节假日全天候监测森林火情，对248名痴、呆、傻等精神障碍人员落实了监管责任人，购置10万余元的砍刀、斧头、铁铲、灭火拍、风力灭火机等扑火工具,12支共计238人的防灭火应急队伍,随时备勤。准确把握实践活动的重点任务，积极展开行动，2022年石南镇党委班子成员下沉909人次，党员干部下沉4,813人次，建立“三张清单”，共收集问题、建议42个，对于群众反映的问题，研究解决措施，确定责任人，压实工作责任，上下联动，形成一级抓一级的网络工作图，为群众、企业解决难题42个，切实把好事实事办到了群众和企业的心坎上</w:t>
      </w:r>
      <w:r>
        <w:rPr>
          <w:rFonts w:hint="eastAsia" w:ascii="仿宋_GB2312" w:hAnsi="仿宋_GB2312" w:eastAsia="仿宋_GB2312" w:cs="仿宋_GB2312"/>
          <w:sz w:val="32"/>
          <w:szCs w:val="32"/>
        </w:rPr>
        <w:t>。</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_GB2312" w:eastAsia="仿宋_GB2312" w:cs="仿宋_GB2312"/>
          <w:bCs/>
          <w:sz w:val="32"/>
          <w:szCs w:val="32"/>
        </w:rPr>
        <w:t>该项指标得分为10分。</w:t>
      </w:r>
    </w:p>
    <w:p>
      <w:pPr>
        <w:spacing w:line="560" w:lineRule="exact"/>
        <w:ind w:firstLine="600"/>
        <w:rPr>
          <w:rFonts w:ascii="仿宋_GB2312" w:hAnsi="仿宋_GB2312" w:eastAsia="仿宋_GB2312" w:cs="仿宋_GB2312"/>
          <w:b/>
          <w:sz w:val="32"/>
          <w:szCs w:val="32"/>
        </w:rPr>
      </w:pPr>
      <w:r>
        <w:rPr>
          <w:rFonts w:hint="eastAsia" w:ascii="仿宋_GB2312" w:hAnsi="仿宋_GB2312" w:eastAsia="仿宋_GB2312" w:cs="仿宋_GB2312"/>
          <w:b/>
          <w:sz w:val="32"/>
          <w:szCs w:val="32"/>
        </w:rPr>
        <w:t>（3）生态效益</w:t>
      </w:r>
    </w:p>
    <w:p>
      <w:pPr>
        <w:spacing w:line="560" w:lineRule="exact"/>
        <w:ind w:firstLine="600"/>
        <w:rPr>
          <w:rFonts w:ascii="仿宋_GB2312" w:hAnsi="仿宋" w:eastAsia="仿宋_GB2312" w:cs="楷体"/>
          <w:b/>
          <w:bCs/>
          <w:sz w:val="32"/>
          <w:szCs w:val="32"/>
        </w:rPr>
      </w:pPr>
      <w:r>
        <w:rPr>
          <w:rFonts w:hint="eastAsia" w:ascii="仿宋_GB2312" w:hAnsi="仿宋" w:eastAsia="仿宋_GB2312" w:cs="楷体"/>
          <w:b/>
          <w:bCs/>
          <w:sz w:val="32"/>
          <w:szCs w:val="32"/>
        </w:rPr>
        <w:t>改善人居环境与生态环境（标准分值10分）</w:t>
      </w:r>
    </w:p>
    <w:p>
      <w:pPr>
        <w:spacing w:line="560" w:lineRule="exact"/>
        <w:ind w:firstLine="6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 xml:space="preserve"> 部门履职对当地生态环境带来的直接与间接影响。</w:t>
      </w:r>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 w:eastAsia="仿宋_GB2312" w:cs="楷体"/>
          <w:sz w:val="32"/>
          <w:szCs w:val="32"/>
        </w:rPr>
        <w:t>2022年，石南镇开展“百日大会战”专项活动，拆除围栏围院20余个、破损广告招牌40余个、“活人墓”3座、垮塌房舍和危房等建筑物15处、违法建设5处。在人居环境整治工作中，投入人居环境整治资金49万元，发放奖补资金6.5万元，通报批评8人次，授予“先进单位”1家、“后进单位”1家，为广大群众营造美丽宜居的生活环境。同时高度关注两不愁三保障、安全饮水、住房安全、易地扶贫搬迁等重点环节，共计排查房屋1,385栋，拆除危房15栋，做到危房不住人，人不住危房，对6个村进行管网延伸，新配套自来水管网8,000余米，为130余户村民开户解决饮水问题。人居环境及生态环境改善工作推进向好，但整治后的维护管护机制未完全落实好，可能会出现整治工作“一次性”的情况，各村基础设施完善程度也还存在一定不足</w:t>
      </w:r>
      <w:r>
        <w:rPr>
          <w:rFonts w:hint="eastAsia" w:ascii="仿宋_GB2312" w:hAnsi="仿宋_GB2312" w:eastAsia="仿宋_GB2312" w:cs="仿宋_GB2312"/>
          <w:bCs/>
          <w:sz w:val="32"/>
          <w:szCs w:val="32"/>
        </w:rPr>
        <w:t>。</w:t>
      </w:r>
    </w:p>
    <w:p>
      <w:pPr>
        <w:spacing w:line="560" w:lineRule="exact"/>
        <w:ind w:firstLine="615"/>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_GB2312" w:eastAsia="仿宋_GB2312" w:cs="仿宋_GB2312"/>
          <w:bCs/>
          <w:sz w:val="32"/>
          <w:szCs w:val="32"/>
        </w:rPr>
        <w:t>该项指标得分为7分。</w:t>
      </w:r>
    </w:p>
    <w:p>
      <w:pPr>
        <w:pStyle w:val="2"/>
        <w:spacing w:line="560" w:lineRule="exact"/>
        <w:ind w:firstLine="643" w:firstLineChars="200"/>
        <w:outlineLvl w:val="2"/>
        <w:rPr>
          <w:rFonts w:ascii="仿宋_GB2312" w:hAnsi="Times New Roman" w:eastAsia="仿宋_GB2312"/>
          <w:b/>
          <w:bCs/>
          <w:sz w:val="32"/>
          <w:szCs w:val="32"/>
        </w:rPr>
      </w:pPr>
      <w:bookmarkStart w:id="64" w:name="_Toc27316"/>
      <w:r>
        <w:rPr>
          <w:rFonts w:hint="eastAsia" w:ascii="仿宋_GB2312" w:hAnsi="Times New Roman" w:eastAsia="仿宋_GB2312"/>
          <w:b/>
          <w:bCs/>
          <w:sz w:val="32"/>
          <w:szCs w:val="32"/>
        </w:rPr>
        <w:t>5.可持续发展能力指标完成情况详细分析</w:t>
      </w:r>
      <w:bookmarkEnd w:id="64"/>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（1）体制机制改革</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a）服务体制改革成效（标准分值1分）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rPr>
        <w:t xml:space="preserve"> </w:t>
      </w:r>
      <w:r>
        <w:rPr>
          <w:rFonts w:hint="eastAsia" w:ascii="仿宋_GB2312" w:hAnsi="仿宋" w:eastAsia="仿宋_GB2312" w:cs="楷体"/>
          <w:sz w:val="32"/>
          <w:szCs w:val="32"/>
        </w:rPr>
        <w:t>服务型政府建设情况，部门服务社会化、服务市场等情况。</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 w:hAnsi="仿宋" w:eastAsia="仿宋" w:cs="仿宋"/>
          <w:sz w:val="32"/>
          <w:szCs w:val="32"/>
        </w:rPr>
        <w:t>2022年石南镇无影响部门对外服务能力提升的相关机制、体制改革情况，按国家之前政策有效运行。</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 w:eastAsia="仿宋_GB2312" w:cs="楷体"/>
          <w:sz w:val="32"/>
          <w:szCs w:val="32"/>
        </w:rPr>
        <w:t>该项指标评价得分为1分。</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b）行政管理体制改革成效（标准分值1分）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rPr>
        <w:t xml:space="preserve"> </w:t>
      </w:r>
      <w:r>
        <w:rPr>
          <w:rFonts w:hint="eastAsia" w:ascii="仿宋_GB2312" w:hAnsi="仿宋" w:eastAsia="仿宋_GB2312" w:cs="楷体"/>
          <w:sz w:val="32"/>
          <w:szCs w:val="32"/>
        </w:rPr>
        <w:t>机构、职能、权力、责任、程序法定化，明确事权和相应的支出责任等情况。</w:t>
      </w:r>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石南镇当年按照通城县的要求开展工作，本年无相关改革。</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 w:eastAsia="仿宋_GB2312" w:cs="楷体"/>
          <w:sz w:val="32"/>
          <w:szCs w:val="32"/>
        </w:rPr>
        <w:t>该项指标评价得分为</w:t>
      </w:r>
      <w:r>
        <w:rPr>
          <w:rFonts w:hint="eastAsia" w:ascii="仿宋_GB2312" w:hAnsi="仿宋_GB2312" w:eastAsia="仿宋_GB2312" w:cs="仿宋_GB2312"/>
          <w:bCs/>
          <w:sz w:val="32"/>
          <w:szCs w:val="32"/>
        </w:rPr>
        <w:t>0分。</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（2）人才支撑</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a）业务学习与培训完成率（标准分值0.5分）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部门(单位)为履行职责而实际完成的业务学习与培训数与计划工作数之比。</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 w:hAnsi="仿宋" w:eastAsia="仿宋" w:cs="仿宋"/>
          <w:sz w:val="32"/>
          <w:szCs w:val="32"/>
        </w:rPr>
        <w:t>更好的管理乡镇日常事务，提高履职能力，石南镇人民政府2022年初设置党建活动活动次数10次，全年实际开展党建活动次数11次。党委会学习22次。业务学习与培训完成率=11/10*100%=110%。</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 w:eastAsia="仿宋_GB2312" w:cs="楷体"/>
          <w:sz w:val="32"/>
          <w:szCs w:val="32"/>
        </w:rPr>
        <w:t>该项指标评价得分为0.5分。</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b）干部队伍体系建设规划情况（标准分值0.5分）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部门(单位)干部队伍建设是否具备科学合理的制度支撑，人才储备规划是否符合本单位发展需求。</w:t>
      </w:r>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2022年，石南镇设置了分事行权分岗设权分级授权及定期轮岗制度，并成立石南镇政府内部控制机构领导小组与工作小组，规范政府内部控制机构管理工作，力求做到有问必改，立行立改</w:t>
      </w:r>
      <w:r>
        <w:rPr>
          <w:rFonts w:hint="eastAsia" w:ascii="仿宋_GB2312" w:hAnsi="仿宋_GB2312" w:eastAsia="仿宋_GB2312" w:cs="仿宋_GB2312"/>
          <w:sz w:val="32"/>
          <w:szCs w:val="32"/>
        </w:rPr>
        <w:t>。</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 w:eastAsia="仿宋_GB2312" w:cs="楷体"/>
          <w:sz w:val="32"/>
          <w:szCs w:val="32"/>
        </w:rPr>
        <w:t>该项指标评价得分为</w:t>
      </w:r>
      <w:r>
        <w:rPr>
          <w:rFonts w:hint="eastAsia" w:ascii="仿宋_GB2312" w:hAnsi="仿宋_GB2312" w:eastAsia="仿宋_GB2312" w:cs="仿宋_GB2312"/>
          <w:bCs/>
          <w:sz w:val="32"/>
          <w:szCs w:val="32"/>
        </w:rPr>
        <w:t>满分0.5分。</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c）高学历、高层次人才储备率（标准分值1分）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 xml:space="preserve">指标内容: </w:t>
      </w:r>
      <w:r>
        <w:rPr>
          <w:rFonts w:hint="eastAsia" w:ascii="仿宋_GB2312" w:hAnsi="仿宋" w:eastAsia="仿宋_GB2312" w:cs="楷体"/>
          <w:sz w:val="32"/>
          <w:szCs w:val="32"/>
        </w:rPr>
        <w:t>部门内部高学历人才的占比情况。</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2022年度石南镇开展党委会学习活动22次，超额完成年初设置的目标值；根据部门提供的花名册，职工总数37人，其中大学及以上人数16人，高学历人才比率为43.24%，</w:t>
      </w:r>
      <w:r>
        <w:rPr>
          <w:rFonts w:hint="eastAsia" w:ascii="仿宋_GB2312" w:hAnsi="仿宋_GB2312" w:eastAsia="仿宋_GB2312" w:cs="仿宋_GB2312"/>
          <w:sz w:val="32"/>
          <w:szCs w:val="32"/>
        </w:rPr>
        <w:t>。</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 w:eastAsia="仿宋_GB2312" w:cs="楷体"/>
          <w:sz w:val="32"/>
          <w:szCs w:val="32"/>
        </w:rPr>
        <w:t>该项指标评价得分为</w:t>
      </w:r>
      <w:r>
        <w:rPr>
          <w:rFonts w:hint="eastAsia" w:ascii="仿宋_GB2312" w:hAnsi="仿宋_GB2312" w:eastAsia="仿宋_GB2312" w:cs="仿宋_GB2312"/>
          <w:bCs/>
          <w:sz w:val="32"/>
          <w:szCs w:val="32"/>
        </w:rPr>
        <w:t>0.5分。</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（3）科技支撑</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a）信息化建设情况（标准分值1分）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部门(单位)是否充分运用信息化手段提升工作效率及管理效能。</w:t>
      </w:r>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经查看石南镇人民政府相关信息系统，发现“三资”系统、国有资产管理系统等在业务管理中得到有效应用。</w:t>
      </w:r>
    </w:p>
    <w:p>
      <w:pPr>
        <w:spacing w:line="560" w:lineRule="exact"/>
        <w:ind w:firstLine="56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_GB2312" w:eastAsia="仿宋_GB2312" w:cs="仿宋_GB2312"/>
          <w:bCs/>
          <w:sz w:val="32"/>
          <w:szCs w:val="32"/>
        </w:rPr>
        <w:t>该项指标得分为满分1分。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b）新技术应用情况（标准分值1分）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 xml:space="preserve">指标内容: </w:t>
      </w:r>
      <w:r>
        <w:rPr>
          <w:rFonts w:hint="eastAsia" w:ascii="仿宋_GB2312" w:hAnsi="仿宋" w:eastAsia="仿宋_GB2312" w:cs="楷体"/>
          <w:sz w:val="32"/>
          <w:szCs w:val="32"/>
        </w:rPr>
        <w:t>政府、行业管理新技术在整个部门的使用情况。</w:t>
      </w:r>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2022年石南镇未推广使用新技术。</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_GB2312" w:eastAsia="仿宋_GB2312" w:cs="仿宋_GB2312"/>
          <w:bCs/>
          <w:sz w:val="32"/>
          <w:szCs w:val="32"/>
        </w:rPr>
        <w:t>该项指标得分为0分。</w:t>
      </w:r>
    </w:p>
    <w:p>
      <w:pPr>
        <w:pStyle w:val="2"/>
        <w:spacing w:line="560" w:lineRule="exact"/>
        <w:ind w:firstLine="643" w:firstLineChars="200"/>
        <w:outlineLvl w:val="2"/>
        <w:rPr>
          <w:rFonts w:ascii="仿宋_GB2312" w:hAnsi="Times New Roman" w:eastAsia="仿宋_GB2312"/>
          <w:b/>
          <w:bCs/>
          <w:sz w:val="32"/>
          <w:szCs w:val="32"/>
        </w:rPr>
      </w:pPr>
      <w:bookmarkStart w:id="65" w:name="_Toc6661"/>
      <w:r>
        <w:rPr>
          <w:rFonts w:hint="eastAsia" w:ascii="仿宋_GB2312" w:hAnsi="Times New Roman" w:eastAsia="仿宋_GB2312"/>
          <w:b/>
          <w:bCs/>
          <w:sz w:val="32"/>
          <w:szCs w:val="32"/>
        </w:rPr>
        <w:t>6.满意度指标完成情况详细分析</w:t>
      </w:r>
      <w:bookmarkEnd w:id="65"/>
    </w:p>
    <w:p>
      <w:pPr>
        <w:spacing w:line="560" w:lineRule="exact"/>
        <w:ind w:firstLine="615"/>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（1）服务对象满意度</w:t>
      </w:r>
    </w:p>
    <w:p>
      <w:pPr>
        <w:spacing w:line="560" w:lineRule="exact"/>
        <w:ind w:firstLine="643" w:firstLineChars="200"/>
        <w:rPr>
          <w:rFonts w:ascii="仿宋_GB2312" w:hAnsi="仿宋" w:eastAsia="仿宋_GB2312" w:cs="楷体"/>
          <w:b/>
          <w:bCs/>
          <w:sz w:val="32"/>
          <w:szCs w:val="32"/>
        </w:rPr>
      </w:pPr>
      <w:bookmarkStart w:id="66" w:name="_Toc25168"/>
      <w:bookmarkStart w:id="67" w:name="_Toc110494974"/>
      <w:bookmarkStart w:id="68" w:name="_Toc20328"/>
      <w:bookmarkStart w:id="69" w:name="_Toc110603993"/>
      <w:r>
        <w:rPr>
          <w:rFonts w:hint="eastAsia" w:ascii="仿宋_GB2312" w:hAnsi="仿宋" w:eastAsia="仿宋_GB2312" w:cs="楷体"/>
          <w:b/>
          <w:bCs/>
          <w:sz w:val="32"/>
          <w:szCs w:val="32"/>
        </w:rPr>
        <w:t>外部人员（群众）满意度（标准分值2分）</w:t>
      </w:r>
      <w:bookmarkEnd w:id="66"/>
      <w:bookmarkEnd w:id="67"/>
      <w:bookmarkEnd w:id="68"/>
      <w:bookmarkEnd w:id="69"/>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rPr>
        <w:t xml:space="preserve"> </w:t>
      </w:r>
      <w:r>
        <w:rPr>
          <w:rFonts w:hint="eastAsia" w:ascii="仿宋_GB2312" w:hAnsi="仿宋" w:eastAsia="仿宋_GB2312" w:cs="楷体"/>
          <w:sz w:val="32"/>
          <w:szCs w:val="32"/>
        </w:rPr>
        <w:t>部门服务的外部对象对部门履职效果的认可度。</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本次共发放居民满意度调查问卷15份，收回调查问卷15份，根据调查问卷题10“您对镇政府工作现状的总体评价”的结果进行统计，群众对镇人民政府部门整体工作满意度达到95%</w:t>
      </w:r>
      <w:r>
        <w:rPr>
          <w:rFonts w:hint="eastAsia" w:ascii="仿宋_GB2312" w:hAnsi="仿宋_GB2312" w:eastAsia="仿宋_GB2312" w:cs="仿宋_GB2312"/>
          <w:sz w:val="32"/>
          <w:szCs w:val="32"/>
        </w:rPr>
        <w:t>。</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bCs/>
          <w:sz w:val="32"/>
          <w:szCs w:val="32"/>
        </w:rPr>
        <w:t>该项指标得满分2分。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bCs/>
          <w:sz w:val="32"/>
          <w:szCs w:val="32"/>
        </w:rPr>
        <w:t>（2）服务对象满意度</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内部干部满意度（标准分值2分）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 xml:space="preserve"> 部门内部相关人员对部门履职效果的认可度。</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本次共发放内部干部满意度调查问卷15份，收回调查问卷15份，根据调查问卷题9“您对石南镇人民政府部门整体工作满意度”的结果进行统计，内部干部对镇人民政府部门整体工作满意度达到95%。</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bCs/>
          <w:sz w:val="32"/>
          <w:szCs w:val="32"/>
        </w:rPr>
        <w:t>该项指标得满分2分。</w:t>
      </w:r>
    </w:p>
    <w:p>
      <w:pPr>
        <w:pStyle w:val="2"/>
        <w:spacing w:line="560" w:lineRule="exact"/>
        <w:ind w:firstLine="643" w:firstLineChars="200"/>
        <w:outlineLvl w:val="2"/>
        <w:rPr>
          <w:rFonts w:ascii="仿宋_GB2312" w:hAnsi="Times New Roman" w:eastAsia="仿宋_GB2312"/>
          <w:b/>
          <w:bCs/>
          <w:sz w:val="32"/>
          <w:szCs w:val="32"/>
        </w:rPr>
      </w:pPr>
      <w:bookmarkStart w:id="70" w:name="_Toc1792"/>
      <w:bookmarkStart w:id="71" w:name="_Toc6513"/>
      <w:bookmarkStart w:id="72" w:name="_Toc26863"/>
      <w:bookmarkStart w:id="73" w:name="_Toc16733"/>
      <w:bookmarkStart w:id="74" w:name="_Toc27945"/>
      <w:r>
        <w:rPr>
          <w:rFonts w:hint="eastAsia" w:ascii="仿宋_GB2312" w:hAnsi="Times New Roman" w:eastAsia="仿宋_GB2312"/>
          <w:b/>
          <w:bCs/>
          <w:sz w:val="32"/>
          <w:szCs w:val="32"/>
        </w:rPr>
        <w:t>7.评价得分</w:t>
      </w:r>
      <w:bookmarkEnd w:id="70"/>
      <w:r>
        <w:rPr>
          <w:rFonts w:hint="eastAsia" w:ascii="仿宋_GB2312" w:hAnsi="Times New Roman" w:eastAsia="仿宋_GB2312"/>
          <w:b/>
          <w:bCs/>
          <w:sz w:val="32"/>
          <w:szCs w:val="32"/>
        </w:rPr>
        <w:t>与等级</w:t>
      </w:r>
      <w:bookmarkEnd w:id="71"/>
      <w:bookmarkEnd w:id="72"/>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根据部门整体支出绩效指标评价分析与打分结果，以总分100分计，该镇2022年部门整体支出实施绩效综合得分为86.65分，评价等级为“良”。基本指标综合得分及等级如下表：</w:t>
      </w:r>
    </w:p>
    <w:p>
      <w:pPr>
        <w:spacing w:line="560" w:lineRule="exact"/>
        <w:ind w:firstLine="2409" w:firstLineChars="800"/>
        <w:rPr>
          <w:rFonts w:ascii="宋体" w:hAnsi="宋体" w:cs="宋体"/>
          <w:b/>
          <w:sz w:val="30"/>
          <w:szCs w:val="30"/>
        </w:rPr>
      </w:pPr>
      <w:r>
        <w:rPr>
          <w:rFonts w:hint="eastAsia" w:ascii="宋体" w:hAnsi="宋体" w:cs="宋体"/>
          <w:b/>
          <w:sz w:val="30"/>
          <w:szCs w:val="30"/>
        </w:rPr>
        <w:t>绩效指标评价得分及等级表</w:t>
      </w:r>
    </w:p>
    <w:tbl>
      <w:tblPr>
        <w:tblStyle w:val="10"/>
        <w:tblW w:w="8364" w:type="dxa"/>
        <w:jc w:val="center"/>
        <w:tblLayout w:type="fixed"/>
        <w:tblCellMar>
          <w:top w:w="15" w:type="dxa"/>
          <w:left w:w="15" w:type="dxa"/>
          <w:bottom w:w="15" w:type="dxa"/>
          <w:right w:w="15" w:type="dxa"/>
        </w:tblCellMar>
      </w:tblPr>
      <w:tblGrid>
        <w:gridCol w:w="2410"/>
        <w:gridCol w:w="1985"/>
        <w:gridCol w:w="1984"/>
        <w:gridCol w:w="1985"/>
      </w:tblGrid>
      <w:tr>
        <w:tblPrEx>
          <w:tblCellMar>
            <w:top w:w="15" w:type="dxa"/>
            <w:left w:w="15" w:type="dxa"/>
            <w:bottom w:w="15" w:type="dxa"/>
            <w:right w:w="15" w:type="dxa"/>
          </w:tblCellMar>
        </w:tblPrEx>
        <w:trPr>
          <w:trHeight w:val="598"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一级指标</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标准分值</w:t>
            </w:r>
          </w:p>
        </w:tc>
        <w:tc>
          <w:tcPr>
            <w:tcW w:w="198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仿宋"/>
                <w:b/>
                <w:color w:val="000000"/>
                <w:sz w:val="24"/>
              </w:rPr>
            </w:pPr>
            <w:r>
              <w:rPr>
                <w:rFonts w:hint="eastAsia" w:ascii="宋体" w:hAnsi="宋体" w:cs="仿宋"/>
                <w:b/>
                <w:color w:val="000000"/>
                <w:sz w:val="24"/>
              </w:rPr>
              <w:t>评价得分</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仿宋"/>
                <w:b/>
                <w:color w:val="000000"/>
                <w:sz w:val="24"/>
              </w:rPr>
            </w:pPr>
            <w:r>
              <w:rPr>
                <w:rFonts w:hint="eastAsia" w:ascii="宋体" w:hAnsi="宋体" w:cs="仿宋"/>
                <w:b/>
                <w:color w:val="000000"/>
                <w:sz w:val="24"/>
              </w:rPr>
              <w:t>评价等级</w:t>
            </w:r>
          </w:p>
        </w:tc>
      </w:tr>
      <w:tr>
        <w:tblPrEx>
          <w:tblCellMar>
            <w:top w:w="15" w:type="dxa"/>
            <w:left w:w="15" w:type="dxa"/>
            <w:bottom w:w="15" w:type="dxa"/>
            <w:right w:w="15" w:type="dxa"/>
          </w:tblCellMar>
        </w:tblPrEx>
        <w:trPr>
          <w:trHeight w:val="380"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运行成本</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8</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8</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优</w:t>
            </w:r>
          </w:p>
        </w:tc>
      </w:tr>
      <w:tr>
        <w:tblPrEx>
          <w:tblCellMar>
            <w:top w:w="15" w:type="dxa"/>
            <w:left w:w="15" w:type="dxa"/>
            <w:bottom w:w="15" w:type="dxa"/>
            <w:right w:w="15" w:type="dxa"/>
          </w:tblCellMar>
        </w:tblPrEx>
        <w:trPr>
          <w:trHeight w:val="374"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管理效率</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22</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19.15</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良</w:t>
            </w:r>
          </w:p>
        </w:tc>
      </w:tr>
      <w:tr>
        <w:tblPrEx>
          <w:tblCellMar>
            <w:top w:w="15" w:type="dxa"/>
            <w:left w:w="15" w:type="dxa"/>
            <w:bottom w:w="15" w:type="dxa"/>
            <w:right w:w="15" w:type="dxa"/>
          </w:tblCellMar>
        </w:tblPrEx>
        <w:trPr>
          <w:trHeight w:val="401"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履职效能</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30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27</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优</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社会效应</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30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25</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良</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rPr>
              <w:t>可持续发展能力</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6</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3.5</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差</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服务对象满意度</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4</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4</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优</w:t>
            </w:r>
          </w:p>
        </w:tc>
      </w:tr>
      <w:tr>
        <w:tblPrEx>
          <w:tblCellMar>
            <w:top w:w="15" w:type="dxa"/>
            <w:left w:w="15" w:type="dxa"/>
            <w:bottom w:w="15" w:type="dxa"/>
            <w:right w:w="15" w:type="dxa"/>
          </w:tblCellMar>
        </w:tblPrEx>
        <w:trPr>
          <w:trHeight w:val="375"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综合得分与等级</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100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sz w:val="24"/>
              </w:rPr>
              <w:t>86.65</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sz w:val="24"/>
              </w:rPr>
              <w:t>良</w:t>
            </w:r>
          </w:p>
        </w:tc>
      </w:tr>
      <w:bookmarkEnd w:id="73"/>
      <w:bookmarkEnd w:id="74"/>
    </w:tbl>
    <w:p>
      <w:pPr>
        <w:pStyle w:val="2"/>
        <w:spacing w:line="560" w:lineRule="exact"/>
        <w:ind w:firstLine="643" w:firstLineChars="200"/>
        <w:outlineLvl w:val="1"/>
        <w:rPr>
          <w:rFonts w:ascii="楷体_GB2312" w:hAnsi="楷体_GB2312" w:eastAsia="楷体_GB2312" w:cs="楷体_GB2312"/>
          <w:b/>
          <w:bCs/>
          <w:sz w:val="32"/>
          <w:szCs w:val="32"/>
        </w:rPr>
      </w:pPr>
      <w:bookmarkStart w:id="75" w:name="_Toc14281"/>
      <w:r>
        <w:rPr>
          <w:rFonts w:hint="eastAsia" w:ascii="楷体_GB2312" w:hAnsi="楷体_GB2312" w:eastAsia="楷体_GB2312" w:cs="楷体_GB2312"/>
          <w:b/>
          <w:bCs/>
          <w:sz w:val="32"/>
          <w:szCs w:val="32"/>
        </w:rPr>
        <w:t>（四）存在的其他问题和原因</w:t>
      </w:r>
      <w:bookmarkEnd w:id="75"/>
    </w:p>
    <w:p>
      <w:pPr>
        <w:pStyle w:val="2"/>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石南镇人民政府整体支出除绩效指标分析中指出的问题外，未发现其他方面的问题。</w:t>
      </w:r>
    </w:p>
    <w:p>
      <w:pPr>
        <w:spacing w:line="560" w:lineRule="exact"/>
        <w:ind w:firstLine="643" w:firstLineChars="200"/>
        <w:outlineLvl w:val="1"/>
        <w:rPr>
          <w:rFonts w:ascii="楷体_GB2312" w:hAnsi="楷体_GB2312" w:eastAsia="楷体_GB2312" w:cs="楷体_GB2312"/>
          <w:b/>
          <w:bCs/>
          <w:sz w:val="32"/>
          <w:szCs w:val="32"/>
        </w:rPr>
      </w:pPr>
      <w:bookmarkStart w:id="76" w:name="_Toc12489"/>
      <w:r>
        <w:rPr>
          <w:rFonts w:hint="eastAsia" w:ascii="楷体_GB2312" w:hAnsi="楷体_GB2312" w:eastAsia="楷体_GB2312" w:cs="楷体_GB2312"/>
          <w:b/>
          <w:bCs/>
          <w:sz w:val="32"/>
          <w:szCs w:val="32"/>
        </w:rPr>
        <w:t>（五）评价工作与评价报告其他需说明的问题</w:t>
      </w:r>
      <w:bookmarkEnd w:id="76"/>
    </w:p>
    <w:p>
      <w:pPr>
        <w:spacing w:line="56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1.本次项目评价中存在局限性的说明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绩效评价报告的评价分析与评价结论的可靠性一方面取决于项目单位提供资料的合规性、真实性和完整性；同时也取决于评价工作人员对部门及行业的了解程度、专业知识和评价能力的限制，对指标评价的把握性，一定程度上影响本次绩效评价结论的准确性。</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 </w:t>
      </w:r>
      <w:r>
        <w:rPr>
          <w:rFonts w:hint="eastAsia" w:ascii="仿宋_GB2312" w:hAnsi="仿宋" w:eastAsia="仿宋_GB2312"/>
          <w:b/>
          <w:bCs/>
          <w:sz w:val="32"/>
          <w:szCs w:val="32"/>
        </w:rPr>
        <w:t>2.提示报告使用者注意事项的说明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绩效评价报告的评价结论和评价意见，仅是针对石南镇人民政府2022年度部门整体支出绩效目标而进行的，不应视为是对部门工作的全面评价，也不应视为是对部门财务状况的客观性、公允性发表评审意见。因使用不当而发生的不利事项，与本次执行评价的第三方评价机构和执行评价的工作人员无关。</w:t>
      </w:r>
    </w:p>
    <w:p>
      <w:pPr>
        <w:spacing w:line="560" w:lineRule="exact"/>
        <w:ind w:firstLine="643" w:firstLineChars="200"/>
        <w:outlineLvl w:val="1"/>
        <w:rPr>
          <w:rFonts w:ascii="楷体_GB2312" w:hAnsi="楷体_GB2312" w:eastAsia="楷体_GB2312" w:cs="楷体_GB2312"/>
          <w:b/>
          <w:bCs/>
          <w:sz w:val="32"/>
          <w:szCs w:val="32"/>
        </w:rPr>
      </w:pPr>
      <w:bookmarkStart w:id="77" w:name="_Toc3731"/>
      <w:r>
        <w:rPr>
          <w:rFonts w:hint="eastAsia" w:ascii="楷体_GB2312" w:hAnsi="楷体_GB2312" w:eastAsia="楷体_GB2312" w:cs="楷体_GB2312"/>
          <w:b/>
          <w:bCs/>
          <w:sz w:val="32"/>
          <w:szCs w:val="32"/>
        </w:rPr>
        <w:t>（六）其他佐证材料</w:t>
      </w:r>
      <w:bookmarkEnd w:id="77"/>
    </w:p>
    <w:p>
      <w:pPr>
        <w:keepNext w:val="0"/>
        <w:keepLines w:val="0"/>
        <w:pageBreakBefore w:val="0"/>
        <w:widowControl w:val="0"/>
        <w:tabs>
          <w:tab w:val="left" w:pos="10245"/>
        </w:tabs>
        <w:kinsoku/>
        <w:wordWrap/>
        <w:overflowPunct/>
        <w:topLinePunct w:val="0"/>
        <w:autoSpaceDE/>
        <w:autoSpaceDN/>
        <w:bidi w:val="0"/>
        <w:adjustRightInd/>
        <w:spacing w:line="560" w:lineRule="exact"/>
        <w:ind w:firstLine="640" w:firstLineChars="200"/>
        <w:textAlignment w:val="auto"/>
        <w:rPr>
          <w:rFonts w:ascii="仿宋_GB2312" w:hAnsi="仿宋" w:eastAsia="仿宋_GB2312" w:cs="楷体"/>
          <w:sz w:val="32"/>
          <w:szCs w:val="32"/>
        </w:rPr>
      </w:pPr>
      <w:r>
        <w:rPr>
          <w:rFonts w:hint="eastAsia" w:ascii="仿宋_GB2312" w:hAnsi="仿宋" w:eastAsia="仿宋_GB2312" w:cs="楷体"/>
          <w:sz w:val="32"/>
          <w:szCs w:val="32"/>
        </w:rPr>
        <w:t>1</w:t>
      </w:r>
      <w:r>
        <w:rPr>
          <w:rFonts w:ascii="仿宋_GB2312" w:hAnsi="仿宋" w:eastAsia="仿宋_GB2312" w:cs="楷体"/>
          <w:sz w:val="32"/>
          <w:szCs w:val="32"/>
        </w:rPr>
        <w:t>.</w:t>
      </w:r>
      <w:r>
        <w:rPr>
          <w:rFonts w:hint="eastAsia" w:ascii="仿宋_GB2312" w:hAnsi="仿宋" w:eastAsia="仿宋_GB2312" w:cs="楷体"/>
          <w:sz w:val="32"/>
          <w:szCs w:val="32"/>
        </w:rPr>
        <w:t>石南镇人民政府2022年部门整体支出绩效评价指标体系及评分表</w:t>
      </w:r>
    </w:p>
    <w:p>
      <w:pPr>
        <w:keepNext w:val="0"/>
        <w:keepLines w:val="0"/>
        <w:pageBreakBefore w:val="0"/>
        <w:widowControl w:val="0"/>
        <w:tabs>
          <w:tab w:val="left" w:pos="10245"/>
        </w:tabs>
        <w:kinsoku/>
        <w:wordWrap/>
        <w:overflowPunct/>
        <w:topLinePunct w:val="0"/>
        <w:autoSpaceDE/>
        <w:autoSpaceDN/>
        <w:bidi w:val="0"/>
        <w:adjustRightInd/>
        <w:spacing w:line="560" w:lineRule="exact"/>
        <w:ind w:firstLine="600"/>
        <w:textAlignment w:val="auto"/>
        <w:rPr>
          <w:rFonts w:ascii="仿宋_GB2312" w:hAnsi="仿宋" w:eastAsia="仿宋_GB2312" w:cs="楷体"/>
          <w:sz w:val="32"/>
          <w:szCs w:val="32"/>
        </w:rPr>
      </w:pPr>
      <w:r>
        <w:rPr>
          <w:rFonts w:hint="eastAsia" w:ascii="仿宋_GB2312" w:hAnsi="仿宋" w:eastAsia="仿宋_GB2312" w:cs="楷体"/>
          <w:sz w:val="32"/>
          <w:szCs w:val="32"/>
        </w:rPr>
        <w:t>2.石南镇人民政府2022年度部门支出绩效评价问题总结</w:t>
      </w:r>
    </w:p>
    <w:p>
      <w:pPr>
        <w:keepNext w:val="0"/>
        <w:keepLines w:val="0"/>
        <w:pageBreakBefore w:val="0"/>
        <w:widowControl w:val="0"/>
        <w:tabs>
          <w:tab w:val="left" w:pos="10245"/>
        </w:tabs>
        <w:kinsoku/>
        <w:wordWrap/>
        <w:overflowPunct/>
        <w:topLinePunct w:val="0"/>
        <w:autoSpaceDE/>
        <w:autoSpaceDN/>
        <w:bidi w:val="0"/>
        <w:adjustRightInd/>
        <w:spacing w:line="560" w:lineRule="exact"/>
        <w:ind w:firstLine="600"/>
        <w:textAlignment w:val="auto"/>
        <w:rPr>
          <w:rFonts w:ascii="仿宋_GB2312" w:hAnsi="仿宋" w:eastAsia="仿宋_GB2312" w:cs="楷体"/>
          <w:sz w:val="32"/>
          <w:szCs w:val="32"/>
        </w:rPr>
      </w:pPr>
      <w:r>
        <w:rPr>
          <w:rFonts w:hint="eastAsia" w:ascii="仿宋_GB2312" w:hAnsi="仿宋" w:eastAsia="仿宋_GB2312" w:cs="楷体"/>
          <w:sz w:val="32"/>
          <w:szCs w:val="32"/>
        </w:rPr>
        <w:t>3.石南镇人民政府部门支出绩效评价座谈会议记录及照片</w:t>
      </w:r>
    </w:p>
    <w:p>
      <w:pPr>
        <w:keepNext w:val="0"/>
        <w:keepLines w:val="0"/>
        <w:pageBreakBefore w:val="0"/>
        <w:widowControl w:val="0"/>
        <w:tabs>
          <w:tab w:val="left" w:pos="10245"/>
        </w:tabs>
        <w:kinsoku/>
        <w:wordWrap/>
        <w:overflowPunct/>
        <w:topLinePunct w:val="0"/>
        <w:autoSpaceDE/>
        <w:autoSpaceDN/>
        <w:bidi w:val="0"/>
        <w:adjustRightInd/>
        <w:spacing w:line="560" w:lineRule="exact"/>
        <w:ind w:firstLine="600"/>
        <w:textAlignment w:val="auto"/>
        <w:rPr>
          <w:rFonts w:ascii="仿宋_GB2312" w:hAnsi="仿宋" w:eastAsia="仿宋_GB2312" w:cs="楷体"/>
          <w:sz w:val="32"/>
          <w:szCs w:val="32"/>
        </w:rPr>
      </w:pPr>
      <w:r>
        <w:rPr>
          <w:rFonts w:hint="eastAsia" w:ascii="仿宋_GB2312" w:hAnsi="仿宋" w:eastAsia="仿宋_GB2312" w:cs="楷体"/>
          <w:sz w:val="32"/>
          <w:szCs w:val="32"/>
        </w:rPr>
        <w:t>4.石南镇人民政府部门支出绩效评价调查问卷</w:t>
      </w:r>
    </w:p>
    <w:p>
      <w:pPr>
        <w:keepNext w:val="0"/>
        <w:keepLines w:val="0"/>
        <w:pageBreakBefore w:val="0"/>
        <w:widowControl w:val="0"/>
        <w:tabs>
          <w:tab w:val="left" w:pos="10245"/>
        </w:tabs>
        <w:kinsoku/>
        <w:wordWrap/>
        <w:overflowPunct/>
        <w:topLinePunct w:val="0"/>
        <w:autoSpaceDE/>
        <w:autoSpaceDN/>
        <w:bidi w:val="0"/>
        <w:adjustRightInd/>
        <w:spacing w:line="560" w:lineRule="exact"/>
        <w:ind w:firstLine="600"/>
        <w:textAlignment w:val="auto"/>
        <w:rPr>
          <w:rFonts w:hint="eastAsia" w:ascii="仿宋_GB2312" w:hAnsi="仿宋" w:eastAsia="仿宋_GB2312" w:cs="楷体"/>
          <w:sz w:val="32"/>
          <w:szCs w:val="32"/>
        </w:rPr>
      </w:pPr>
      <w:r>
        <w:rPr>
          <w:rFonts w:hint="eastAsia" w:ascii="仿宋_GB2312" w:hAnsi="仿宋" w:eastAsia="仿宋_GB2312" w:cs="楷体"/>
          <w:sz w:val="32"/>
          <w:szCs w:val="32"/>
        </w:rPr>
        <w:t>5.绩效评价工作方案</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rPr>
      </w:pPr>
    </w:p>
    <w:p>
      <w:pPr>
        <w:pStyle w:val="2"/>
        <w:keepNext w:val="0"/>
        <w:keepLines w:val="0"/>
        <w:pageBreakBefore w:val="0"/>
        <w:widowControl w:val="0"/>
        <w:kinsoku/>
        <w:wordWrap/>
        <w:overflowPunct/>
        <w:topLinePunct w:val="0"/>
        <w:autoSpaceDE/>
        <w:autoSpaceDN/>
        <w:bidi w:val="0"/>
        <w:adjustRightInd/>
        <w:spacing w:line="560" w:lineRule="exact"/>
        <w:textAlignment w:val="auto"/>
      </w:pPr>
    </w:p>
    <w:p>
      <w:pPr>
        <w:keepNext w:val="0"/>
        <w:keepLines w:val="0"/>
        <w:pageBreakBefore w:val="0"/>
        <w:widowControl w:val="0"/>
        <w:kinsoku/>
        <w:wordWrap/>
        <w:overflowPunct/>
        <w:topLinePunct w:val="0"/>
        <w:autoSpaceDE/>
        <w:autoSpaceDN/>
        <w:bidi w:val="0"/>
        <w:adjustRightInd/>
        <w:spacing w:line="560" w:lineRule="exact"/>
        <w:ind w:firstLine="4480" w:firstLineChars="1400"/>
        <w:textAlignment w:val="auto"/>
        <w:rPr>
          <w:rFonts w:ascii="仿宋_GB2312" w:hAnsi="楷体" w:eastAsia="仿宋_GB2312" w:cs="楷体"/>
          <w:sz w:val="32"/>
          <w:szCs w:val="32"/>
        </w:rPr>
      </w:pPr>
      <w:r>
        <w:rPr>
          <w:rFonts w:hint="eastAsia" w:ascii="仿宋_GB2312" w:hAnsi="楷体" w:eastAsia="仿宋_GB2312" w:cs="楷体"/>
          <w:sz w:val="32"/>
          <w:szCs w:val="32"/>
        </w:rPr>
        <w:t>湖北恒信会计师事务有</w:t>
      </w:r>
      <w:bookmarkStart w:id="78" w:name="_GoBack"/>
      <w:bookmarkEnd w:id="78"/>
      <w:r>
        <w:rPr>
          <w:rFonts w:hint="eastAsia" w:ascii="仿宋_GB2312" w:hAnsi="楷体" w:eastAsia="仿宋_GB2312" w:cs="楷体"/>
          <w:sz w:val="32"/>
          <w:szCs w:val="32"/>
        </w:rPr>
        <w:t>限公司</w:t>
      </w:r>
    </w:p>
    <w:p>
      <w:pPr>
        <w:keepNext w:val="0"/>
        <w:keepLines w:val="0"/>
        <w:pageBreakBefore w:val="0"/>
        <w:widowControl w:val="0"/>
        <w:kinsoku/>
        <w:wordWrap/>
        <w:overflowPunct/>
        <w:topLinePunct w:val="0"/>
        <w:autoSpaceDE/>
        <w:autoSpaceDN/>
        <w:bidi w:val="0"/>
        <w:adjustRightInd/>
        <w:spacing w:line="560" w:lineRule="exact"/>
        <w:ind w:firstLine="5440" w:firstLineChars="1700"/>
        <w:textAlignment w:val="auto"/>
        <w:rPr>
          <w:rFonts w:ascii="仿宋_GB2312" w:hAnsi="楷体" w:eastAsia="仿宋_GB2312" w:cs="楷体"/>
          <w:sz w:val="32"/>
          <w:szCs w:val="32"/>
        </w:rPr>
      </w:pPr>
      <w:r>
        <w:rPr>
          <w:rFonts w:hint="eastAsia" w:ascii="仿宋_GB2312" w:hAnsi="楷体" w:eastAsia="仿宋_GB2312" w:cs="楷体"/>
          <w:sz w:val="32"/>
          <w:szCs w:val="32"/>
        </w:rPr>
        <w:t>2023年9月2</w:t>
      </w:r>
      <w:r>
        <w:rPr>
          <w:rFonts w:hint="eastAsia" w:ascii="仿宋_GB2312" w:hAnsi="楷体" w:eastAsia="仿宋_GB2312" w:cs="楷体"/>
          <w:sz w:val="32"/>
          <w:szCs w:val="32"/>
          <w:lang w:val="en-US" w:eastAsia="zh-CN"/>
        </w:rPr>
        <w:t>8</w:t>
      </w:r>
      <w:r>
        <w:rPr>
          <w:rFonts w:hint="eastAsia" w:ascii="仿宋_GB2312" w:hAnsi="楷体" w:eastAsia="仿宋_GB2312" w:cs="楷体"/>
          <w:sz w:val="32"/>
          <w:szCs w:val="32"/>
        </w:rPr>
        <w:t>日</w:t>
      </w:r>
    </w:p>
    <w:sectPr>
      <w:pgSz w:w="11906" w:h="16838"/>
      <w:pgMar w:top="2098" w:right="1474" w:bottom="1984" w:left="1587" w:header="851"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tabs>
        <w:tab w:val="center" w:pos="4153"/>
        <w:tab w:val="right" w:pos="8306"/>
      </w:tabs>
      <w:snapToGrid w:val="0"/>
      <w:jc w:val="left"/>
      <w:rPr>
        <w:sz w:val="18"/>
        <w:szCs w:val="18"/>
      </w:rPr>
    </w:pPr>
    <w:r>
      <w:rPr>
        <w:rFonts w:hint="eastAsia"/>
        <w:sz w:val="18"/>
        <w:szCs w:val="18"/>
      </w:rPr>
      <w:t xml:space="preserve">                                                                                          </w:t>
    </w:r>
    <w:r>
      <w:rPr>
        <w:rFonts w:hint="eastAsia" w:ascii="Times New Roman" w:hAnsi="Times New Roman"/>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tabs>
        <w:tab w:val="center" w:pos="4153"/>
        <w:tab w:val="right" w:pos="8306"/>
      </w:tabs>
      <w:snapToGrid w:val="0"/>
      <w:jc w:val="left"/>
      <w:rPr>
        <w:sz w:val="18"/>
        <w:szCs w:val="18"/>
      </w:rPr>
    </w:pPr>
    <w:r>
      <w:rPr>
        <w:sz w:val="18"/>
        <w:szCs w:val="18"/>
      </w:rPr>
      <w:fldChar w:fldCharType="begin"/>
    </w:r>
    <w:r>
      <w:rPr>
        <w:rFonts w:ascii="Times New Roman" w:hAnsi="Times New Roman"/>
        <w:sz w:val="18"/>
        <w:szCs w:val="18"/>
      </w:rPr>
      <w:instrText xml:space="preserve">PAGE  </w:instrText>
    </w:r>
    <w:r>
      <w:rPr>
        <w:sz w:val="18"/>
        <w:szCs w:val="18"/>
      </w:rPr>
      <w:fldChar w:fldCharType="separate"/>
    </w:r>
    <w:r>
      <w:rPr>
        <w:rFonts w:ascii="Times New Roman" w:hAnsi="Times New Roman"/>
        <w:sz w:val="18"/>
        <w:szCs w:val="18"/>
      </w:rPr>
      <w:t>8</w:t>
    </w:r>
    <w:r>
      <w:rPr>
        <w:sz w:val="18"/>
        <w:szCs w:val="18"/>
      </w:rPr>
      <w:fldChar w:fldCharType="end"/>
    </w:r>
  </w:p>
  <w:p>
    <w:pPr>
      <w:tabs>
        <w:tab w:val="center" w:pos="4153"/>
        <w:tab w:val="right" w:pos="8306"/>
      </w:tabs>
      <w:snapToGrid w:val="0"/>
      <w:ind w:right="360"/>
      <w:jc w:val="lef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sz w:val="18"/>
        <w:szCs w:val="18"/>
      </w:rPr>
    </w:pPr>
    <w:r>
      <w:rPr>
        <w:rFonts w:hint="eastAsia"/>
        <w:sz w:val="18"/>
        <w:szCs w:val="18"/>
      </w:rPr>
      <w:t xml:space="preserve">                                                                                             </w:t>
    </w:r>
    <w:r>
      <w:rPr>
        <w:rFonts w:hint="eastAsia" w:ascii="Times New Roman" w:hAnsi="Times New Roman"/>
        <w:sz w:val="18"/>
        <w:szCs w:val="18"/>
      </w:rPr>
      <w:t xml:space="preserve">  </w:t>
    </w:r>
    <w:r>
      <w:rPr>
        <w:sz w:val="18"/>
        <w:szCs w:val="18"/>
      </w:rPr>
      <w:fldChar w:fldCharType="begin"/>
    </w:r>
    <w:r>
      <w:rPr>
        <w:rFonts w:ascii="Times New Roman" w:hAnsi="Times New Roman"/>
        <w:sz w:val="18"/>
        <w:szCs w:val="18"/>
      </w:rPr>
      <w:instrText xml:space="preserve"> PAGE </w:instrText>
    </w:r>
    <w:r>
      <w:rPr>
        <w:sz w:val="18"/>
        <w:szCs w:val="18"/>
      </w:rPr>
      <w:fldChar w:fldCharType="separate"/>
    </w:r>
    <w:r>
      <w:rPr>
        <w:rFonts w:ascii="Times New Roman" w:hAnsi="Times New Roman"/>
        <w:sz w:val="18"/>
        <w:szCs w:val="18"/>
      </w:rPr>
      <w:t>1</w:t>
    </w:r>
    <w:r>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sz w:val="18"/>
        <w:szCs w:val="18"/>
      </w:rPr>
    </w:pPr>
    <w:r>
      <w:rPr>
        <w:sz w:val="18"/>
        <w:szCs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snapToGrid w:val="0"/>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7</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pPr>
                      <w:tabs>
                        <w:tab w:val="center" w:pos="4153"/>
                        <w:tab w:val="right" w:pos="8306"/>
                      </w:tabs>
                      <w:snapToGrid w:val="0"/>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7</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pPr>
      <w:rPr>
        <w:rFonts w:ascii="Times New Roman" w:hAnsi="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500" w:lineRule="exac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8530D9"/>
    <w:multiLevelType w:val="multilevel"/>
    <w:tmpl w:val="3A8530D9"/>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kMDMxZjRkODYyMmY3NTZkNDk0ZTAyZTQzZGJmNDMifQ=="/>
  </w:docVars>
  <w:rsids>
    <w:rsidRoot w:val="008C3C59"/>
    <w:rsid w:val="000620FA"/>
    <w:rsid w:val="00075AB3"/>
    <w:rsid w:val="000B4F7B"/>
    <w:rsid w:val="000B537A"/>
    <w:rsid w:val="000B622B"/>
    <w:rsid w:val="000D12CE"/>
    <w:rsid w:val="000E2E4F"/>
    <w:rsid w:val="000E39D5"/>
    <w:rsid w:val="001072B3"/>
    <w:rsid w:val="00134488"/>
    <w:rsid w:val="00157332"/>
    <w:rsid w:val="00163B86"/>
    <w:rsid w:val="0016669C"/>
    <w:rsid w:val="00195499"/>
    <w:rsid w:val="001A1F74"/>
    <w:rsid w:val="001B57C9"/>
    <w:rsid w:val="001C7B9B"/>
    <w:rsid w:val="001D3060"/>
    <w:rsid w:val="002038F3"/>
    <w:rsid w:val="0020481F"/>
    <w:rsid w:val="00217484"/>
    <w:rsid w:val="002211AE"/>
    <w:rsid w:val="0022153F"/>
    <w:rsid w:val="00225F92"/>
    <w:rsid w:val="00273496"/>
    <w:rsid w:val="002A5936"/>
    <w:rsid w:val="002E36AD"/>
    <w:rsid w:val="00312FDF"/>
    <w:rsid w:val="0032615D"/>
    <w:rsid w:val="00357A1B"/>
    <w:rsid w:val="00360D73"/>
    <w:rsid w:val="00364227"/>
    <w:rsid w:val="00364C2D"/>
    <w:rsid w:val="00391718"/>
    <w:rsid w:val="00395892"/>
    <w:rsid w:val="003A50F1"/>
    <w:rsid w:val="003A6122"/>
    <w:rsid w:val="003C7922"/>
    <w:rsid w:val="003D332E"/>
    <w:rsid w:val="003D356C"/>
    <w:rsid w:val="003D39AD"/>
    <w:rsid w:val="00413570"/>
    <w:rsid w:val="00430A14"/>
    <w:rsid w:val="00487601"/>
    <w:rsid w:val="004B4A58"/>
    <w:rsid w:val="00504C80"/>
    <w:rsid w:val="0051546E"/>
    <w:rsid w:val="00521257"/>
    <w:rsid w:val="00521ECF"/>
    <w:rsid w:val="0055191A"/>
    <w:rsid w:val="005552BF"/>
    <w:rsid w:val="0056351B"/>
    <w:rsid w:val="00563D78"/>
    <w:rsid w:val="0056428B"/>
    <w:rsid w:val="00593AA9"/>
    <w:rsid w:val="005A0595"/>
    <w:rsid w:val="005B7C67"/>
    <w:rsid w:val="005B7F75"/>
    <w:rsid w:val="005C27BA"/>
    <w:rsid w:val="005D5DAA"/>
    <w:rsid w:val="0060033B"/>
    <w:rsid w:val="00607281"/>
    <w:rsid w:val="00616354"/>
    <w:rsid w:val="006324D1"/>
    <w:rsid w:val="006458B3"/>
    <w:rsid w:val="006617F0"/>
    <w:rsid w:val="006671D1"/>
    <w:rsid w:val="00674919"/>
    <w:rsid w:val="006903CE"/>
    <w:rsid w:val="006907FF"/>
    <w:rsid w:val="006C1B3F"/>
    <w:rsid w:val="006C3836"/>
    <w:rsid w:val="006C4214"/>
    <w:rsid w:val="006F7B09"/>
    <w:rsid w:val="00703D98"/>
    <w:rsid w:val="007201D4"/>
    <w:rsid w:val="00726A40"/>
    <w:rsid w:val="00763AD6"/>
    <w:rsid w:val="007B05A0"/>
    <w:rsid w:val="007C11F3"/>
    <w:rsid w:val="007E299C"/>
    <w:rsid w:val="00823C1A"/>
    <w:rsid w:val="008924DA"/>
    <w:rsid w:val="008C3C59"/>
    <w:rsid w:val="008E0D18"/>
    <w:rsid w:val="008E701E"/>
    <w:rsid w:val="008F2DF5"/>
    <w:rsid w:val="008F64DB"/>
    <w:rsid w:val="00907003"/>
    <w:rsid w:val="0093486F"/>
    <w:rsid w:val="0096089A"/>
    <w:rsid w:val="0096092C"/>
    <w:rsid w:val="00981E26"/>
    <w:rsid w:val="0098287D"/>
    <w:rsid w:val="009A7B2D"/>
    <w:rsid w:val="009C79C9"/>
    <w:rsid w:val="009E33D8"/>
    <w:rsid w:val="009E73A6"/>
    <w:rsid w:val="00A267FE"/>
    <w:rsid w:val="00A45E7B"/>
    <w:rsid w:val="00A9730D"/>
    <w:rsid w:val="00AB071C"/>
    <w:rsid w:val="00AB2116"/>
    <w:rsid w:val="00AC14EE"/>
    <w:rsid w:val="00AC79A8"/>
    <w:rsid w:val="00AE17CE"/>
    <w:rsid w:val="00AE5959"/>
    <w:rsid w:val="00AE7ACA"/>
    <w:rsid w:val="00B02027"/>
    <w:rsid w:val="00B07F98"/>
    <w:rsid w:val="00B24F70"/>
    <w:rsid w:val="00B36417"/>
    <w:rsid w:val="00B72EEA"/>
    <w:rsid w:val="00BA23B3"/>
    <w:rsid w:val="00BB5EED"/>
    <w:rsid w:val="00BD0835"/>
    <w:rsid w:val="00BD22A4"/>
    <w:rsid w:val="00BD41D5"/>
    <w:rsid w:val="00BD5823"/>
    <w:rsid w:val="00BE09CA"/>
    <w:rsid w:val="00BF64E4"/>
    <w:rsid w:val="00C27C8B"/>
    <w:rsid w:val="00C27F04"/>
    <w:rsid w:val="00C3043C"/>
    <w:rsid w:val="00C62FD9"/>
    <w:rsid w:val="00C91FBB"/>
    <w:rsid w:val="00C92A1C"/>
    <w:rsid w:val="00CC417E"/>
    <w:rsid w:val="00CF1C05"/>
    <w:rsid w:val="00D10F68"/>
    <w:rsid w:val="00D24346"/>
    <w:rsid w:val="00D736E4"/>
    <w:rsid w:val="00D77AE3"/>
    <w:rsid w:val="00D81CEB"/>
    <w:rsid w:val="00DC09F2"/>
    <w:rsid w:val="00DC6537"/>
    <w:rsid w:val="00DD4751"/>
    <w:rsid w:val="00DF4792"/>
    <w:rsid w:val="00DF4F58"/>
    <w:rsid w:val="00E062F5"/>
    <w:rsid w:val="00E113DF"/>
    <w:rsid w:val="00E14272"/>
    <w:rsid w:val="00E17137"/>
    <w:rsid w:val="00E27403"/>
    <w:rsid w:val="00E37ACA"/>
    <w:rsid w:val="00E538FF"/>
    <w:rsid w:val="00E740A5"/>
    <w:rsid w:val="00E92AB6"/>
    <w:rsid w:val="00EB3EEF"/>
    <w:rsid w:val="00EF17F5"/>
    <w:rsid w:val="00F044EC"/>
    <w:rsid w:val="00F2342A"/>
    <w:rsid w:val="00F35825"/>
    <w:rsid w:val="00F37CFF"/>
    <w:rsid w:val="00F430A3"/>
    <w:rsid w:val="00F4446D"/>
    <w:rsid w:val="00F64B11"/>
    <w:rsid w:val="00F66637"/>
    <w:rsid w:val="00F718E1"/>
    <w:rsid w:val="00F831AA"/>
    <w:rsid w:val="00FA75B5"/>
    <w:rsid w:val="00FE6973"/>
    <w:rsid w:val="03042EEE"/>
    <w:rsid w:val="0935611C"/>
    <w:rsid w:val="0CC720D4"/>
    <w:rsid w:val="11537066"/>
    <w:rsid w:val="1F135B68"/>
    <w:rsid w:val="371A5E2A"/>
    <w:rsid w:val="3FD04FD0"/>
    <w:rsid w:val="406531F0"/>
    <w:rsid w:val="4AF710B7"/>
    <w:rsid w:val="50697A27"/>
    <w:rsid w:val="523F6A89"/>
    <w:rsid w:val="6024196A"/>
    <w:rsid w:val="7F7E3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4"/>
    <w:next w:val="4"/>
    <w:qFormat/>
    <w:uiPriority w:val="9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footer"/>
    <w:next w:val="1"/>
    <w:qFormat/>
    <w:uiPriority w:val="99"/>
    <w:pPr>
      <w:widowControl w:val="0"/>
      <w:tabs>
        <w:tab w:val="center" w:pos="4153"/>
        <w:tab w:val="right" w:pos="8306"/>
      </w:tabs>
      <w:snapToGrid w:val="0"/>
    </w:pPr>
    <w:rPr>
      <w:rFonts w:ascii="Calibri" w:hAnsi="Calibri" w:eastAsia="宋体" w:cs="Times New Roman"/>
      <w:kern w:val="2"/>
      <w:sz w:val="18"/>
      <w:szCs w:val="18"/>
      <w:lang w:val="en-US" w:eastAsia="zh-CN" w:bidi="ar-SA"/>
    </w:rPr>
  </w:style>
  <w:style w:type="paragraph" w:customStyle="1" w:styleId="4">
    <w:name w:val="Table of Authorities1"/>
    <w:basedOn w:val="1"/>
    <w:next w:val="1"/>
    <w:qFormat/>
    <w:uiPriority w:val="99"/>
    <w:pPr>
      <w:ind w:left="420" w:leftChars="200"/>
    </w:pPr>
  </w:style>
  <w:style w:type="paragraph" w:styleId="5">
    <w:name w:val="toc 3"/>
    <w:basedOn w:val="1"/>
    <w:next w:val="1"/>
    <w:qFormat/>
    <w:uiPriority w:val="39"/>
    <w:pPr>
      <w:ind w:left="840" w:leftChars="400"/>
    </w:pPr>
  </w:style>
  <w:style w:type="paragraph" w:styleId="6">
    <w:name w:val="Balloon Text"/>
    <w:basedOn w:val="1"/>
    <w:link w:val="13"/>
    <w:qFormat/>
    <w:uiPriority w:val="0"/>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39"/>
  </w:style>
  <w:style w:type="paragraph" w:styleId="9">
    <w:name w:val="toc 2"/>
    <w:basedOn w:val="1"/>
    <w:next w:val="1"/>
    <w:qFormat/>
    <w:uiPriority w:val="39"/>
    <w:pPr>
      <w:ind w:left="420" w:leftChars="200"/>
    </w:p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批注框文本 Char"/>
    <w:basedOn w:val="11"/>
    <w:link w:val="6"/>
    <w:qFormat/>
    <w:uiPriority w:val="0"/>
    <w:rPr>
      <w:rFonts w:ascii="Calibri" w:hAnsi="Calibri" w:eastAsia="宋体" w:cs="Times New Roman"/>
      <w:kern w:val="2"/>
      <w:sz w:val="18"/>
      <w:szCs w:val="18"/>
    </w:rPr>
  </w:style>
  <w:style w:type="character" w:customStyle="1" w:styleId="14">
    <w:name w:val="页眉 Char"/>
    <w:basedOn w:val="11"/>
    <w:link w:val="7"/>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243946-EC81-4EE5-8348-36C5A109058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54</Pages>
  <Words>22453</Words>
  <Characters>23728</Characters>
  <Lines>185</Lines>
  <Paragraphs>52</Paragraphs>
  <TotalTime>1</TotalTime>
  <ScaleCrop>false</ScaleCrop>
  <LinksUpToDate>false</LinksUpToDate>
  <CharactersWithSpaces>23893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2023-08-12T03:51:00Z</dcterms:created>
  <dc:creator>mini</dc:creator>
  <cp:lastModifiedBy>行笔言飞</cp:lastModifiedBy>
  <cp:lastPrinted>2023-09-25T03:35:00Z</cp:lastPrinted>
  <dcterms:modified xsi:type="dcterms:W3CDTF">2023-09-25T06:02:16Z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78586043418C4DBB9881ADF3AC0D42CB</vt:lpwstr>
  </property>
</Properties>
</file>