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城北中学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通城县城北中学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通城县城北中学20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通城县城北中学20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通城县城北中学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城北中学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通城县城北中学20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1487.57万元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6.41万元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0.34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6.41万元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0.34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214.08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16.81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214.08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16.81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6.41万元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0.34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1272.24万元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85.53</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136.1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9.15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79.23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5.32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1487.57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198.24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15.37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1063.14万元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71.47</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294.73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19.81</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124.3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8.36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5.4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城北中学20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2.25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23.55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比年初预算数减少1.72万元，降低76.44%，减少主要原因：公务用车改革和认真贯彻落实中央、省、市、县关于厉行节约的各项要求，进一步从严控制“三公经费”开支。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106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124.3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增加21.43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41.57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7.85</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手续费3.92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5.89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8.83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19.06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6.87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14.72</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2.93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0万元，劳务费0万元， 委托业务费0万元，</w:t>
      </w:r>
      <w:r>
        <w:rPr>
          <w:rFonts w:hint="eastAsia" w:ascii="仿宋" w:hAnsi="仿宋" w:eastAsia="仿宋" w:cs="仿宋"/>
          <w:color w:val="auto"/>
          <w:sz w:val="28"/>
          <w:szCs w:val="28"/>
          <w:lang w:val="en-US" w:eastAsia="zh-CN"/>
        </w:rPr>
        <w:t>工会经费2.92</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3.79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30.57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32.61</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通城县城北中学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7.6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7.6</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通城县城北中学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通城县城北中学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通城县城北中学20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0E2F91"/>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5F6D093D"/>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8616AD7"/>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2022-09-11T08:24:19Z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