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通城县关刀中学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通城县关刀中学20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通城县关刀中学20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通城县关刀中学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通城县关刀中学20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1012.27万元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99.95万元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出增加增加</w:t>
      </w:r>
      <w:r>
        <w:rPr>
          <w:rFonts w:hint="eastAsia" w:ascii="仿宋" w:hAnsi="仿宋" w:eastAsia="仿宋" w:cs="仿宋"/>
          <w:color w:val="auto"/>
          <w:sz w:val="28"/>
          <w:szCs w:val="28"/>
          <w:lang w:val="en-US" w:eastAsia="zh-CN"/>
        </w:rPr>
        <w:t>99.95万元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99.95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99.95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99.95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886.65万元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87.59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79.43</w:t>
      </w:r>
      <w:r>
        <w:rPr>
          <w:rFonts w:hint="eastAsia" w:ascii="仿宋" w:hAnsi="仿宋" w:eastAsia="仿宋" w:cs="仿宋"/>
          <w:color w:val="auto"/>
          <w:sz w:val="28"/>
          <w:szCs w:val="28"/>
        </w:rPr>
        <w:t>万元，占总支出</w:t>
      </w:r>
      <w:r>
        <w:rPr>
          <w:rFonts w:hint="eastAsia" w:ascii="仿宋" w:hAnsi="仿宋" w:eastAsia="仿宋" w:cs="仿宋"/>
          <w:color w:val="auto"/>
          <w:sz w:val="28"/>
          <w:szCs w:val="28"/>
          <w:lang w:val="en-US" w:eastAsia="zh-CN"/>
        </w:rPr>
        <w:t>的7.85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46.2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4.56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1012.27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259.29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34.43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694.5万元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68.61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154.82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15.30</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140.06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22.9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2.25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关刀中学20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2.18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44.95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比年初预算数减少1.2万元，降低55.04%，减少主要原因：公务用车改革和认真贯彻落实中央、省、市、县关于厉行节约的各项要求，进一步从严控制“三公经费”开支。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140.06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增加32.38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32.2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手续费4.89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7.33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24.22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8.55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18.33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9.05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0万元，劳务费0万元， 委托业务费0万元，</w:t>
      </w:r>
      <w:r>
        <w:rPr>
          <w:rFonts w:hint="eastAsia" w:ascii="仿宋" w:hAnsi="仿宋" w:eastAsia="仿宋" w:cs="仿宋"/>
          <w:color w:val="auto"/>
          <w:sz w:val="28"/>
          <w:szCs w:val="28"/>
          <w:lang w:val="en-US" w:eastAsia="zh-CN"/>
        </w:rPr>
        <w:t>工会经费3.54</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4.55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48.54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53.04</w:t>
      </w:r>
      <w:r>
        <w:rPr>
          <w:rFonts w:hint="eastAsia" w:ascii="仿宋" w:hAnsi="仿宋" w:eastAsia="仿宋" w:cs="仿宋"/>
          <w:color w:val="auto"/>
          <w:sz w:val="28"/>
          <w:szCs w:val="28"/>
        </w:rPr>
        <w:t>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通城县关刀中学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6.3</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通城县关刀中学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通城县关刀中学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通城县关刀中学20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8A13B2"/>
    <w:rsid w:val="06625936"/>
    <w:rsid w:val="07A34388"/>
    <w:rsid w:val="09D97491"/>
    <w:rsid w:val="0AC15253"/>
    <w:rsid w:val="0CAD39DF"/>
    <w:rsid w:val="12710C04"/>
    <w:rsid w:val="12722411"/>
    <w:rsid w:val="15AB6832"/>
    <w:rsid w:val="1BDB3886"/>
    <w:rsid w:val="1DF83229"/>
    <w:rsid w:val="221D4684"/>
    <w:rsid w:val="240C4C9B"/>
    <w:rsid w:val="245B6282"/>
    <w:rsid w:val="252533C6"/>
    <w:rsid w:val="27083457"/>
    <w:rsid w:val="2DBB42BD"/>
    <w:rsid w:val="2E08741A"/>
    <w:rsid w:val="393323A7"/>
    <w:rsid w:val="3CCA353F"/>
    <w:rsid w:val="3CE4661E"/>
    <w:rsid w:val="3D7A2A3A"/>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8B313E"/>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2022-09-11T08:10:39Z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