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仿宋" w:hAnsi="仿宋" w:eastAsia="仿宋" w:cs="仿宋"/>
          <w:b/>
          <w:bCs/>
          <w:sz w:val="32"/>
          <w:szCs w:val="32"/>
          <w:shd w:val="clear" w:color="auto" w:fill="FFFFFF"/>
        </w:rPr>
        <w:t>【通城县沙堆中心完小】</w:t>
      </w:r>
      <w:r>
        <w:rPr>
          <w:rFonts w:hint="eastAsia" w:ascii="新宋体" w:hAnsi="新宋体" w:eastAsia="新宋体" w:cs="新宋体"/>
          <w:sz w:val="32"/>
          <w:szCs w:val="32"/>
        </w:rPr>
        <w:t>2020年部门决算公开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通城县沙堆中心完小概况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bCs/>
          <w:sz w:val="28"/>
          <w:szCs w:val="28"/>
        </w:rPr>
      </w:pPr>
      <w:r>
        <w:rPr>
          <w:rFonts w:hint="eastAsia" w:ascii="仿宋" w:hAnsi="仿宋" w:eastAsia="仿宋" w:cs="仿宋"/>
          <w:sz w:val="28"/>
          <w:szCs w:val="28"/>
        </w:rPr>
        <w:t>三、</w:t>
      </w:r>
      <w:r>
        <w:rPr>
          <w:rStyle w:val="8"/>
          <w:rFonts w:hint="eastAsia" w:ascii="仿宋" w:hAnsi="仿宋" w:eastAsia="仿宋" w:cs="仿宋"/>
          <w:b w:val="0"/>
          <w:bCs/>
          <w:sz w:val="28"/>
          <w:szCs w:val="28"/>
          <w:shd w:val="clear" w:color="auto" w:fill="FFFFFF"/>
        </w:rPr>
        <w:t>年度主要工作任务及目标</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通城县沙堆中心完小2020年部门决算情况说明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通城县沙堆中心完小2020年部门决算表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九、国有资本经营预预算财政拨款支出决算表</w:t>
      </w:r>
      <w:r>
        <w:rPr>
          <w:rFonts w:hint="eastAsia" w:ascii="仿宋" w:hAnsi="仿宋" w:eastAsia="仿宋" w:cs="仿宋"/>
          <w:sz w:val="28"/>
          <w:szCs w:val="28"/>
        </w:rPr>
        <w:br w:type="textWrapping"/>
      </w: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通城县沙堆中心完小概况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从预算单位构成看，通城县沙堆中心完小部门预算机构包括：</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（一）办公室</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（二）教导处</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（三）财务处</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（四）综治政教处</w:t>
      </w:r>
    </w:p>
    <w:p>
      <w:pPr>
        <w:pStyle w:val="5"/>
        <w:adjustRightInd/>
        <w:snapToGrid/>
        <w:spacing w:beforeAutospacing="0" w:afterAutospacing="0" w:line="480" w:lineRule="atLeast"/>
        <w:ind w:firstLine="562" w:firstLineChars="200"/>
        <w:rPr>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三、年度主要工作任务及目标</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3. 加大教育改革力度。加强教学教研改革。深化教师管理制度改革，稳步实施“县管校聘”改革。坚持教育去行政化。                                       </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4、夯实教师队伍根基。注重教师师德师风建设，提升教师专业素质能力，统筹优化教师资源配置，注重青年教师管理培养。优先完善教师保障机制，努力提升教师的职业幸福感、获得感。</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5、营造教育良好生态。办好人民满意教育。统筹各类教育发展。</w:t>
      </w:r>
    </w:p>
    <w:p>
      <w:pPr>
        <w:ind w:firstLine="440"/>
        <w:rPr>
          <w:rFonts w:ascii="仿宋" w:hAnsi="仿宋" w:eastAsia="仿宋" w:cs="仿宋"/>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通城县沙堆中心完小2020年部门决算情况说明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通城县沙堆中心完小2020年收入决算数686.50万元、支出决算数686.50万元，与上年相比，收入减少51.93万元、减幅7.03%，支出减少51.93万元，减幅7.03%。主要原因是:受新冠疫情影响学校学生数减少，公用经费减少。</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通城县沙堆中心完小2020年收入决算686.50万元，其中：财政拨款收入686.50万元，占比100%。</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通城县沙堆中心完小2020年支出决算686.50万元，其中：基本支出686.50万元，占支出总额的100%；项目支出686.500万元，占支出总额的0%。</w:t>
      </w:r>
    </w:p>
    <w:p>
      <w:pPr>
        <w:ind w:firstLine="560" w:firstLineChars="200"/>
        <w:rPr>
          <w:rFonts w:ascii="仿宋" w:hAnsi="仿宋" w:eastAsia="仿宋" w:cs="仿宋"/>
          <w:sz w:val="28"/>
          <w:szCs w:val="28"/>
        </w:rPr>
      </w:pPr>
      <w:r>
        <w:rPr>
          <w:rFonts w:hint="eastAsia" w:ascii="仿宋" w:hAnsi="仿宋" w:eastAsia="仿宋" w:cs="仿宋"/>
          <w:sz w:val="28"/>
          <w:szCs w:val="28"/>
        </w:rPr>
        <w:t>四、2020年财政拨款收入支出决算总体情况说明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心完小2020年财政拨款收入决算数686.50万元、支出决算数686.50万元。与上年相比，财政拨款收入减少51.93万元、减幅7.03%。支出减少51.93万元，减幅7.03%。主要原因是:受新冠疫情影响学校学生数减少，公用经费减少。</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通城县沙堆中心完小2020年财政拨款支出686.50万元，比年初预算数增加11.5万元，增长1.7%，增加的主要原因：“教育十大工程项目”拨付增加，人员增加。</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其中：基本支出686.50万元，项目支出0万元；主要用于以下方面：一般公共服务（类）支出 607.12万元，占总支出88.57%；社会保障和就业支出50.21万元，占总支出的7.31%；住房保障支出29.17万元，占总支出的4.25%。</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2020年财政拨款基本支出686.50万元，比年初预算数增加3万元，增长0.5%，增加的主要原因：人员增加，学校公用经费增长。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其中：工资福利支出462.75万元，占总支出的67.41%；对个人和家庭的补助支出</w:t>
      </w:r>
      <w:r>
        <w:rPr>
          <w:rFonts w:ascii="仿宋" w:hAnsi="仿宋" w:eastAsia="仿宋" w:cs="仿宋"/>
          <w:sz w:val="28"/>
          <w:szCs w:val="28"/>
        </w:rPr>
        <w:t>12</w:t>
      </w:r>
      <w:r>
        <w:rPr>
          <w:rFonts w:hint="eastAsia" w:ascii="仿宋" w:hAnsi="仿宋" w:eastAsia="仿宋" w:cs="仿宋"/>
          <w:sz w:val="28"/>
          <w:szCs w:val="28"/>
        </w:rPr>
        <w:t>2.92万元，占总支出的18%；商品和服务支出87.84万元，占总支出的12.8%；资本性支出13万元，占总支出的1.9%。</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通城县沙堆中心完小2020年“三公”经费财政拨款支出为0.74万元，完成年初预算为0.8万元的92.5%。少于预算数的原因是: 接待工作减少。</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1、因公出国（境）费决算0万元,包括单位工作人员公务出国（境）的差旅费、伙食补助费、杂费、培训费等支出，比年初预算数增加（减少）0 万元，增长0%，主要原因：公务用车改革和认真贯彻落实中央、省、市、县关于厉行节约的各项要求，进一步从严控制“三公经费”开支。使用财政拨款安排单位出国（境）团组0个、参加其他单位组织的出国（境）团组0个，全年因工出国（境）团组共计0个，累计0人次，与上年相比增加（减少）0个，0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2、本单位公务用车保有量0辆，公务用车购置及运行维护费0万元。比年初预算数增加（减少）0 万元，增长（降低）0%，增加（减少）主要原因：公务用车改革和认真贯彻落实中央、省、市、区关于厉行节约的各项要求，进一步从严控制“三公经费”开支。其中：公务用车购置支出为0万元；公务用车运行维护支出0万元。与上年相比增加0万元，无增加。</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0.74万元，包括单位按规定开支的各类公务接待（含外宾接待）支出。比年初预算数减少0.06万元，降低7.5%，减少主要原因：公务用车改革和认真贯彻落实中央、省、市、县关于厉行节约的各项要求，进一步从严控制“三公经费”开支。其中：教育系统国内公务接待支出0</w:t>
      </w:r>
      <w:r>
        <w:rPr>
          <w:rFonts w:hint="eastAsia" w:ascii="仿宋" w:hAnsi="仿宋" w:eastAsia="仿宋" w:cs="仿宋"/>
          <w:sz w:val="28"/>
          <w:szCs w:val="28"/>
          <w:lang w:val="en-US" w:eastAsia="zh-CN"/>
        </w:rPr>
        <w:t>.74</w:t>
      </w:r>
      <w:r>
        <w:rPr>
          <w:rFonts w:hint="eastAsia" w:ascii="仿宋" w:hAnsi="仿宋" w:eastAsia="仿宋" w:cs="仿宋"/>
          <w:sz w:val="28"/>
          <w:szCs w:val="28"/>
        </w:rPr>
        <w:t>万元，接待</w:t>
      </w:r>
      <w:r>
        <w:rPr>
          <w:rFonts w:hint="eastAsia" w:ascii="仿宋" w:hAnsi="仿宋" w:eastAsia="仿宋" w:cs="仿宋"/>
          <w:sz w:val="28"/>
          <w:szCs w:val="28"/>
          <w:lang w:val="en-US" w:eastAsia="zh-CN"/>
        </w:rPr>
        <w:t>15</w:t>
      </w:r>
      <w:r>
        <w:rPr>
          <w:rFonts w:hint="eastAsia" w:ascii="仿宋" w:hAnsi="仿宋" w:eastAsia="仿宋" w:cs="仿宋"/>
          <w:sz w:val="28"/>
          <w:szCs w:val="28"/>
        </w:rPr>
        <w:t>批次、</w:t>
      </w:r>
      <w:r>
        <w:rPr>
          <w:rFonts w:hint="eastAsia" w:ascii="仿宋" w:hAnsi="仿宋" w:eastAsia="仿宋" w:cs="仿宋"/>
          <w:sz w:val="28"/>
          <w:szCs w:val="28"/>
          <w:lang w:val="en-US" w:eastAsia="zh-CN"/>
        </w:rPr>
        <w:t>148</w:t>
      </w:r>
      <w:r>
        <w:rPr>
          <w:rFonts w:hint="eastAsia" w:ascii="仿宋" w:hAnsi="仿宋" w:eastAsia="仿宋" w:cs="仿宋"/>
          <w:sz w:val="28"/>
          <w:szCs w:val="28"/>
        </w:rPr>
        <w:t>人次。外事接待支出0万元，接待0批次、0人次。与上年相比减少0万元。主要是因为制定了严格的财务管理制度，压缩不必要的接待，控制接待标准，坚持勤俭节约的作风。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本单位政府性基金预算财政拨款收入0万元；支出0万元，其中：基本支出0万元。项目支出0万元。</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本单位国有资本经营预算财政拨款支出0万元，其中：基本支出0万元。项目支出0万元。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本部门2020年度运行经费支（公用经费）出100.84万元，与上年相比减少3.2万元，减少的主要原因是:严格落实中央八项规定，反对浪费，压缩办公经费。</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其中：办公费37.31万元、印刷费0.69万元、 咨询费0万元、水费1.11万元，电费6.08万元，邮电费1.60万元，物业管理费0.32万元，差旅费2.79万元、维修（护）费6.86万元，  租赁费0万元，会议费2.10万元，培训费4.52万元，公务招待费0.73万元，专用材料费0万元，劳务费2.68万元， 委托业务费0万元，福利费0万元，公务用车运行维护费0万元，其他交通费用0.4万元， 税金及附加费用0万元，其他商品和服务支出0.77万元。</w:t>
      </w:r>
    </w:p>
    <w:p>
      <w:pPr>
        <w:ind w:firstLine="560" w:firstLineChars="200"/>
        <w:rPr>
          <w:rFonts w:ascii="仿宋" w:hAnsi="仿宋" w:eastAsia="仿宋" w:cs="仿宋"/>
          <w:sz w:val="28"/>
          <w:szCs w:val="28"/>
        </w:rPr>
      </w:pPr>
      <w:r>
        <w:rPr>
          <w:rFonts w:hint="eastAsia" w:ascii="仿宋" w:hAnsi="仿宋" w:eastAsia="仿宋" w:cs="仿宋"/>
          <w:sz w:val="28"/>
          <w:szCs w:val="28"/>
        </w:rPr>
        <w:t>2020年度学校运行经费支出比年初预算数增加2.2万元，增长1.5%。主要原因是：办公设施设备购置经费增加，资产运行维护支出增加，信息系统运行维护支出增加等。</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2020年通城县沙堆中心完小政府采购支出总额</w:t>
      </w:r>
      <w:r>
        <w:rPr>
          <w:rFonts w:hint="eastAsia" w:ascii="仿宋" w:hAnsi="仿宋" w:eastAsia="仿宋" w:cs="仿宋"/>
          <w:sz w:val="28"/>
          <w:szCs w:val="28"/>
          <w:lang w:val="en-US" w:eastAsia="zh-CN"/>
        </w:rPr>
        <w:t>2.8</w:t>
      </w:r>
      <w:r>
        <w:rPr>
          <w:rFonts w:hint="eastAsia" w:ascii="仿宋" w:hAnsi="仿宋" w:eastAsia="仿宋" w:cs="仿宋"/>
          <w:sz w:val="28"/>
          <w:szCs w:val="28"/>
        </w:rPr>
        <w:t>万元，其中： 政府采购货物支出</w:t>
      </w:r>
      <w:r>
        <w:rPr>
          <w:rFonts w:hint="eastAsia" w:ascii="仿宋" w:hAnsi="仿宋" w:eastAsia="仿宋" w:cs="仿宋"/>
          <w:sz w:val="28"/>
          <w:szCs w:val="28"/>
          <w:lang w:val="en-US" w:eastAsia="zh-CN"/>
        </w:rPr>
        <w:t>2.8</w:t>
      </w:r>
      <w:bookmarkStart w:id="0" w:name="_GoBack"/>
      <w:bookmarkEnd w:id="0"/>
      <w:r>
        <w:rPr>
          <w:rFonts w:hint="eastAsia" w:ascii="仿宋" w:hAnsi="仿宋" w:eastAsia="仿宋" w:cs="仿宋"/>
          <w:sz w:val="28"/>
          <w:szCs w:val="28"/>
        </w:rPr>
        <w:t>万元、政府采购工程支出0万元、政府采购服务支出0万元。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截至2020年12月31日，通城县沙堆中心完小共有车辆0辆，其中，主要领导干部用车0辆、机要通信用车0辆、应急保障用车0辆、执法执勤用车 0辆、特种专业技术用车0辆、离退休干部用车0辆、其他用车 0辆；单位价值 50万元以上通用设备0台（套）；单位价值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ascii="仿宋" w:hAnsi="仿宋" w:eastAsia="仿宋" w:cs="仿宋"/>
          <w:sz w:val="28"/>
          <w:szCs w:val="28"/>
        </w:rPr>
      </w:pPr>
      <w:r>
        <w:rPr>
          <w:rFonts w:hint="eastAsia" w:ascii="仿宋" w:hAnsi="仿宋" w:eastAsia="仿宋" w:cs="仿宋"/>
          <w:sz w:val="28"/>
          <w:szCs w:val="28"/>
        </w:rPr>
        <w:t>根据预算绩效管理要求，通城县沙堆中心完小组织对2020年度一般公共预算项目支出全面开展绩效自评，共涉及项目6个，资金7.5万元，占一般公共预算项目支出总额的1.1％。上述项目支出绩效情况较为理想，均达到了项目申请时设定的各项绩效目标。</w:t>
      </w:r>
    </w:p>
    <w:p>
      <w:pPr>
        <w:ind w:firstLine="560" w:firstLineChars="200"/>
        <w:rPr>
          <w:rFonts w:ascii="仿宋" w:hAnsi="仿宋" w:eastAsia="仿宋" w:cs="仿宋"/>
          <w:sz w:val="28"/>
          <w:szCs w:val="28"/>
        </w:rPr>
      </w:pPr>
      <w:r>
        <w:rPr>
          <w:rFonts w:hint="eastAsia" w:ascii="仿宋" w:hAnsi="仿宋" w:eastAsia="仿宋" w:cs="仿宋"/>
          <w:sz w:val="28"/>
          <w:szCs w:val="28"/>
        </w:rPr>
        <w:t>组织开展整体支出绩效评价，从评价情况来看，我单位2020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第四部分通城县沙堆中心完小2020年部门决算公开表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2020年部门决算公开表</w:t>
      </w:r>
    </w:p>
    <w:p>
      <w:pPr>
        <w:ind w:firstLine="440" w:firstLineChars="200"/>
        <w:rPr>
          <w:rFonts w:ascii="新宋体" w:hAnsi="新宋体" w:eastAsia="新宋体" w:cs="新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cwYzhiMmU4MmJiYjY3NWM1YjgxMDlmN2UzNmI4MzEifQ=="/>
  </w:docVars>
  <w:rsids>
    <w:rsidRoot w:val="00D31D50"/>
    <w:rsid w:val="00000EDE"/>
    <w:rsid w:val="000301DC"/>
    <w:rsid w:val="00055702"/>
    <w:rsid w:val="000752B6"/>
    <w:rsid w:val="000A08E4"/>
    <w:rsid w:val="000A7F88"/>
    <w:rsid w:val="000B0D9F"/>
    <w:rsid w:val="00124C9C"/>
    <w:rsid w:val="00141575"/>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425CF"/>
    <w:rsid w:val="00472CE1"/>
    <w:rsid w:val="004952F4"/>
    <w:rsid w:val="00595177"/>
    <w:rsid w:val="005A53FB"/>
    <w:rsid w:val="005D7E98"/>
    <w:rsid w:val="005F41B3"/>
    <w:rsid w:val="006012FC"/>
    <w:rsid w:val="00620B08"/>
    <w:rsid w:val="00621FFD"/>
    <w:rsid w:val="006B0F8C"/>
    <w:rsid w:val="006C5D87"/>
    <w:rsid w:val="00755D55"/>
    <w:rsid w:val="007603CD"/>
    <w:rsid w:val="0077690B"/>
    <w:rsid w:val="00791C3B"/>
    <w:rsid w:val="0081370C"/>
    <w:rsid w:val="008208A9"/>
    <w:rsid w:val="008269F5"/>
    <w:rsid w:val="0084774B"/>
    <w:rsid w:val="00847DF9"/>
    <w:rsid w:val="00881C17"/>
    <w:rsid w:val="00884912"/>
    <w:rsid w:val="008B7726"/>
    <w:rsid w:val="008C7615"/>
    <w:rsid w:val="00904377"/>
    <w:rsid w:val="00980BA8"/>
    <w:rsid w:val="00982C76"/>
    <w:rsid w:val="009B18E6"/>
    <w:rsid w:val="009F445D"/>
    <w:rsid w:val="00A01854"/>
    <w:rsid w:val="00A27E47"/>
    <w:rsid w:val="00A47EE4"/>
    <w:rsid w:val="00A52580"/>
    <w:rsid w:val="00A53175"/>
    <w:rsid w:val="00B402FC"/>
    <w:rsid w:val="00B44F5A"/>
    <w:rsid w:val="00BE0D05"/>
    <w:rsid w:val="00C174C7"/>
    <w:rsid w:val="00C447E3"/>
    <w:rsid w:val="00C762D2"/>
    <w:rsid w:val="00CB0807"/>
    <w:rsid w:val="00CC7743"/>
    <w:rsid w:val="00D31D50"/>
    <w:rsid w:val="00D4554F"/>
    <w:rsid w:val="00D869CC"/>
    <w:rsid w:val="00D91496"/>
    <w:rsid w:val="00DD4F20"/>
    <w:rsid w:val="00DE7932"/>
    <w:rsid w:val="00E16481"/>
    <w:rsid w:val="00EB11A1"/>
    <w:rsid w:val="00ED021A"/>
    <w:rsid w:val="00ED3591"/>
    <w:rsid w:val="00EE7635"/>
    <w:rsid w:val="00F2079C"/>
    <w:rsid w:val="00F468D4"/>
    <w:rsid w:val="00F65722"/>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43A313C"/>
    <w:rsid w:val="56E74241"/>
    <w:rsid w:val="593C0653"/>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5FE7059"/>
    <w:rsid w:val="768F319E"/>
    <w:rsid w:val="76D62E47"/>
    <w:rsid w:val="77AA2CD6"/>
    <w:rsid w:val="7BE87C8D"/>
    <w:rsid w:val="7C8D540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632</Words>
  <Characters>3609</Characters>
  <Lines>30</Lines>
  <Paragraphs>8</Paragraphs>
  <TotalTime>20</TotalTime>
  <ScaleCrop>false</ScaleCrop>
  <LinksUpToDate>false</LinksUpToDate>
  <CharactersWithSpaces>4233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2022-09-11T13:41:14Z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