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四庄乡四庄中学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通城县四庄乡四庄中学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通城县四庄乡四庄中学20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通城县四庄乡四庄中学20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通城县四庄乡四庄中学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四庄乡四庄中学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通城县四庄乡四庄中学20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通城县四庄乡四庄中学20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378.88万元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17.43万元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“教育十大工程项目”拨款增加，学校公用经费增长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通城县四庄乡四庄中学20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通城县四庄乡四庄中学20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通城县四庄乡四庄中学20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17.43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17.43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4.8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通城县四庄乡四庄中学20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8.18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学生数增加，公用经费增加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46.79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22.77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378.88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8.18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309.34万元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11.39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58.15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四庄乡四庄中学20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58.15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12.12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11.1</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10.06</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10.12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8.59</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0.72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3.79</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05</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1.22</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0.43</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1.62</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4.97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8.18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通城县四庄乡四庄中学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通城县四庄乡四庄中学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通城县四庄乡四庄中学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通城县四庄乡四庄中学20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7B6266"/>
    <w:rsid w:val="06625936"/>
    <w:rsid w:val="07A34388"/>
    <w:rsid w:val="09D97491"/>
    <w:rsid w:val="0AC15253"/>
    <w:rsid w:val="0CAD39DF"/>
    <w:rsid w:val="12722411"/>
    <w:rsid w:val="15AB6832"/>
    <w:rsid w:val="18DD4B68"/>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6DD1214A"/>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23</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2022-09-11T14:35:11Z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