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塘湖中心完小</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塘中心完小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塘湖中心完小</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塘湖中心完小</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塘湖中心完小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color w:val="auto"/>
          <w:sz w:val="28"/>
          <w:szCs w:val="28"/>
          <w:lang w:eastAsia="zh-CN"/>
        </w:rPr>
        <w:t>　</w:t>
      </w:r>
      <w:r>
        <w:rPr>
          <w:rFonts w:hint="eastAsia" w:ascii="仿宋_GB2312" w:hAnsi="仿宋_GB2312" w:eastAsia="仿宋_GB2312" w:cs="仿宋_GB2312"/>
          <w:color w:val="auto"/>
          <w:sz w:val="28"/>
          <w:szCs w:val="28"/>
          <w:lang w:eastAsia="zh-CN"/>
        </w:rPr>
        <w:t>　</w:t>
      </w: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塘湖中心完小</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五</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总务处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塘湖中心完小</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塘湖中心完小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573.78万元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573.78</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82.16万元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16.71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82.16</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16.71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主要原因是</w:t>
      </w:r>
      <w:r>
        <w:rPr>
          <w:rFonts w:hint="eastAsia" w:ascii="仿宋" w:hAnsi="仿宋" w:eastAsia="仿宋" w:cs="仿宋"/>
          <w:color w:val="auto"/>
          <w:sz w:val="28"/>
          <w:szCs w:val="28"/>
          <w:lang w:val="en-US" w:eastAsia="zh-CN"/>
        </w:rPr>
        <w:t>:学校学生数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对应配置教师数增加，</w:t>
      </w:r>
      <w:r>
        <w:rPr>
          <w:rFonts w:hint="eastAsia" w:ascii="仿宋" w:hAnsi="仿宋" w:eastAsia="仿宋" w:cs="仿宋"/>
          <w:color w:val="auto"/>
          <w:sz w:val="28"/>
          <w:szCs w:val="28"/>
          <w:lang w:eastAsia="zh-CN"/>
        </w:rPr>
        <w:t>学校公用经费增长。</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塘湖中心完小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573.78</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573.78</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塘湖中心完小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573.78</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573.78</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塘湖中心完小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573.78</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573.78</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82.16</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16.71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82.16</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16.71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主要原因是</w:t>
      </w:r>
      <w:r>
        <w:rPr>
          <w:rFonts w:hint="eastAsia" w:ascii="仿宋" w:hAnsi="仿宋" w:eastAsia="仿宋" w:cs="仿宋"/>
          <w:color w:val="auto"/>
          <w:sz w:val="28"/>
          <w:szCs w:val="28"/>
          <w:lang w:val="en-US" w:eastAsia="zh-CN"/>
        </w:rPr>
        <w:t>:学校学生数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对应配置教师数增加，</w:t>
      </w:r>
      <w:r>
        <w:rPr>
          <w:rFonts w:hint="eastAsia" w:ascii="仿宋" w:hAnsi="仿宋" w:eastAsia="仿宋" w:cs="仿宋"/>
          <w:color w:val="auto"/>
          <w:sz w:val="28"/>
          <w:szCs w:val="28"/>
          <w:lang w:eastAsia="zh-CN"/>
        </w:rPr>
        <w:t>学校公用经费增长。</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塘湖中心完小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573.78</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105.63</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22.56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学校学生数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对应配置教师数增加，</w:t>
      </w:r>
      <w:r>
        <w:rPr>
          <w:rFonts w:hint="eastAsia" w:ascii="仿宋" w:hAnsi="仿宋" w:eastAsia="仿宋" w:cs="仿宋"/>
          <w:color w:val="auto"/>
          <w:sz w:val="28"/>
          <w:szCs w:val="28"/>
          <w:lang w:eastAsia="zh-CN"/>
        </w:rPr>
        <w:t>学校公用经费增长。</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573.78</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37.04</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6.45</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21.51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3.74</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573.78</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105.63</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22.56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学校学生数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对应配置教师数增加，</w:t>
      </w:r>
      <w:r>
        <w:rPr>
          <w:rFonts w:hint="eastAsia" w:ascii="仿宋" w:hAnsi="仿宋" w:eastAsia="仿宋" w:cs="仿宋"/>
          <w:color w:val="auto"/>
          <w:sz w:val="28"/>
          <w:szCs w:val="28"/>
          <w:lang w:eastAsia="zh-CN"/>
        </w:rPr>
        <w:t>学校公用经费增长。</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361.55万元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63.01</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110.14</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19.19</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84.21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14.67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17.89</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3.11</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val="en-US" w:eastAsia="zh-CN"/>
        </w:rPr>
        <w:t>塘湖中心完小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0.09</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1.46</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6.16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0.09</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比年初预算数减少1.37万元，降低93.83%，减少主要原因：公务用车改革和认真贯彻落实中央、省、市、县关于厉行节约的各项要求，进一步从严控制“三公经费”开支。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0.09</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84.21</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增长30.79</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增长</w:t>
      </w:r>
      <w:r>
        <w:rPr>
          <w:rFonts w:hint="eastAsia" w:ascii="仿宋" w:hAnsi="仿宋" w:eastAsia="仿宋" w:cs="仿宋"/>
          <w:color w:val="auto"/>
          <w:sz w:val="28"/>
          <w:szCs w:val="28"/>
        </w:rPr>
        <w:t>的主要原因是:</w:t>
      </w:r>
      <w:r>
        <w:rPr>
          <w:rFonts w:hint="eastAsia" w:ascii="仿宋" w:hAnsi="仿宋" w:eastAsia="仿宋" w:cs="仿宋"/>
          <w:color w:val="auto"/>
          <w:sz w:val="28"/>
          <w:szCs w:val="28"/>
          <w:lang w:val="en-US" w:eastAsia="zh-CN"/>
        </w:rPr>
        <w:t>学校学生数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对应配置教师数增加，</w:t>
      </w:r>
      <w:r>
        <w:rPr>
          <w:rFonts w:hint="eastAsia" w:ascii="仿宋" w:hAnsi="仿宋" w:eastAsia="仿宋" w:cs="仿宋"/>
          <w:color w:val="auto"/>
          <w:sz w:val="28"/>
          <w:szCs w:val="28"/>
          <w:lang w:eastAsia="zh-CN"/>
        </w:rPr>
        <w:t>学校公用经费增长。</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18.47</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3.66</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0.14</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2.93</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4.57</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0.71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15.12</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3.31</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7.06</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0.79</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4.97</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0.09</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0.08</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0.11</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0.19</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14.25</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1.87</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14.09</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20.09</w:t>
      </w:r>
      <w:bookmarkStart w:id="0" w:name="_GoBack"/>
      <w:bookmarkEnd w:id="0"/>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学校学生数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对应配置教师数增加，</w:t>
      </w:r>
      <w:r>
        <w:rPr>
          <w:rFonts w:hint="eastAsia" w:ascii="仿宋" w:hAnsi="仿宋" w:eastAsia="仿宋" w:cs="仿宋"/>
          <w:color w:val="auto"/>
          <w:sz w:val="28"/>
          <w:szCs w:val="28"/>
          <w:lang w:eastAsia="zh-CN"/>
        </w:rPr>
        <w:t>学校公用经费增长，</w:t>
      </w:r>
      <w:r>
        <w:rPr>
          <w:rFonts w:hint="eastAsia" w:ascii="仿宋" w:hAnsi="仿宋" w:eastAsia="仿宋" w:cs="仿宋"/>
          <w:color w:val="auto"/>
          <w:sz w:val="28"/>
          <w:szCs w:val="28"/>
        </w:rPr>
        <w:t>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塘湖中心完小</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塘湖中心完小</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塘湖中心完小</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17</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0.69</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塘湖中心完小</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2B9E"/>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722411"/>
    <w:rsid w:val="15AB6832"/>
    <w:rsid w:val="1BDB3886"/>
    <w:rsid w:val="1DF83229"/>
    <w:rsid w:val="221D4684"/>
    <w:rsid w:val="240C4C9B"/>
    <w:rsid w:val="245B6282"/>
    <w:rsid w:val="252533C6"/>
    <w:rsid w:val="27083457"/>
    <w:rsid w:val="2E08741A"/>
    <w:rsid w:val="393323A7"/>
    <w:rsid w:val="3CE4661E"/>
    <w:rsid w:val="3E94641E"/>
    <w:rsid w:val="450D5E90"/>
    <w:rsid w:val="46930B4F"/>
    <w:rsid w:val="4795374B"/>
    <w:rsid w:val="493D7C60"/>
    <w:rsid w:val="498D4584"/>
    <w:rsid w:val="4C9B2F61"/>
    <w:rsid w:val="4D1465D5"/>
    <w:rsid w:val="5047524A"/>
    <w:rsid w:val="543A313C"/>
    <w:rsid w:val="56E74241"/>
    <w:rsid w:val="59B93C0A"/>
    <w:rsid w:val="5A4A6D62"/>
    <w:rsid w:val="5A5A1F55"/>
    <w:rsid w:val="5D34570A"/>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1B4F59"/>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3844</Words>
  <Characters>441</Characters>
  <Lines>3</Lines>
  <Paragraphs>8</Paragraphs>
  <TotalTime>8</TotalTime>
  <ScaleCrop>false</ScaleCrop>
  <LinksUpToDate>false</LinksUpToDate>
  <CharactersWithSpaces>4277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2022-09-05T09:15:04Z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