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实验学校</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1682.84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增长1111.46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194.52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1682.84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1111.46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增长194.52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学校学生数增加，对应配置教师数增加，公用经费增长。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1682.24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1111.46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194.52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1682.24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学校学生数增加，对应配置教师数增加，公用经费增长。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300.84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63.16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6万元、电费24万元、邮电费4.95万元、物业管理费46万元、差旅费5万元、维修（护）费20万元、租赁费2万元、会议费0万元、培训费4.6万元、公务接待费2.8万元、专用材料费10万元、劳务费12万元、委托业务费0万元、工会经费50万元、其他交通费用4万元、税金及附加费用0万元、其他商品和服务支出13.32万元，占预算总额的17.88%，比上年增加229.24万元,增长320.16%。增长原因：学校学生数增加，对应配置教师数增加，公用经费增长。</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13.32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0.79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增长8.32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增长166.4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学校学生数增加，对应配置教师数增加，公用经费增长</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学校新办学，学生数增加，对应配置教师数增加，示范性教学活动增加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学校新办学，学生数增加，对应配置教师数增加，示范性教学活动增加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增长5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增长100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学校新办学，学生数增加，对应配置教师数增加，新购置设备增加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w:t>
      </w:r>
      <w:bookmarkStart w:id="0" w:name="_GoBack"/>
      <w:bookmarkEnd w:id="0"/>
      <w:r>
        <w:rPr>
          <w:rFonts w:hint="eastAsia" w:ascii="仿宋" w:hAnsi="仿宋" w:eastAsia="仿宋" w:cs="仿宋"/>
          <w:i w:val="0"/>
          <w:caps w:val="0"/>
          <w:color w:val="auto"/>
          <w:spacing w:val="0"/>
          <w:sz w:val="28"/>
          <w:szCs w:val="28"/>
          <w:shd w:val="clear" w:fill="FFFFFF"/>
        </w:rPr>
        <w:t>、工作计划的一致性，形成科学合理、规范完整且可量化、可评价的指标体系。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C11F7B"/>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 w:val="7D93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