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【通城县城北初中】2021年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通城县城北初中</w:t>
      </w:r>
      <w:r>
        <w:rPr>
          <w:rFonts w:hint="eastAsia" w:ascii="仿宋" w:hAnsi="仿宋" w:eastAsia="仿宋" w:cs="仿宋"/>
          <w:i w:val="0"/>
          <w:caps w:val="0"/>
          <w:color w:val="auto"/>
          <w:spacing w:val="0"/>
          <w:sz w:val="28"/>
          <w:szCs w:val="28"/>
          <w:shd w:val="clear" w:fill="FFFFFF"/>
          <w:lang w:val="en-US" w:eastAsia="zh-CN"/>
        </w:rPr>
        <w:t>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通城县城北初中学校2021年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1318.56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254.93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16.20</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1257.56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15.93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1.25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通城县城北初中学校2021年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1318.56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254.93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16.20</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1289.33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通城县城北初中学校2021年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通城县城北初中学校2021年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89.25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20.68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4.46万元、电费6.25万元、邮电费2.65万元、物业管理费0万元、差旅费0万元、维修（护）费13.26万元、租赁费0万元、会议费1.06万元、培训费5.31万元、公务接待费2.12万元、专用材料费0万元、劳务费2.12万元、委托业务费0万元、工会经费25.31万元、其他交通费用1.79万元、税金及附加费用0万元、其他商品和服务支出0.53万元，占预算总额的6.76%，比上年减少4.4万元,下降4.76%。。</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0.53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96.29</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通城县城北初中学校2021年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2.12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5.77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2.12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5.77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通城县城北初中学校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通城县0学校2021年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2E92FDC"/>
    <w:rsid w:val="2781324E"/>
    <w:rsid w:val="2AE1247B"/>
    <w:rsid w:val="2DB424AB"/>
    <w:rsid w:val="31DA728A"/>
    <w:rsid w:val="343555FF"/>
    <w:rsid w:val="34970D5F"/>
    <w:rsid w:val="362F706B"/>
    <w:rsid w:val="36903A6B"/>
    <w:rsid w:val="39BA1340"/>
    <w:rsid w:val="39DD28A8"/>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928160A"/>
    <w:rsid w:val="5B7274A3"/>
    <w:rsid w:val="5C39644A"/>
    <w:rsid w:val="5E6A41B3"/>
    <w:rsid w:val="664C185E"/>
    <w:rsid w:val="684273B9"/>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