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实验幼儿园</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实验幼儿园</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569.7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67.2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449.8</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35.1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w:t>
      </w:r>
      <w:r>
        <w:rPr>
          <w:rFonts w:hint="eastAsia" w:ascii="仿宋" w:hAnsi="仿宋" w:eastAsia="仿宋" w:cs="仿宋"/>
          <w:i w:val="0"/>
          <w:caps w:val="0"/>
          <w:color w:val="auto"/>
          <w:spacing w:val="0"/>
          <w:sz w:val="28"/>
          <w:szCs w:val="28"/>
          <w:shd w:val="clear" w:fill="FFFFFF"/>
          <w:lang w:val="en-US" w:eastAsia="zh-CN"/>
        </w:rPr>
        <w:t>食堂经营收入减少。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569.7</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67.2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569.7</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bookmarkStart w:id="0" w:name="_GoBack"/>
      <w:bookmarkEnd w:id="0"/>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食堂经营支出预算减少</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99.5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30.5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3.5万元、电费3.5万元、邮电费1万元、物业管理费1.5万元、差旅费1万元、维修（护）费25万元、租赁费0万元、会议费0.6万元、培训费2.5万元、公务接待费0.4万元、专用材料费4万元、被装购置费5、劳务费8万元、委托业务费0万元、工会经费10万元、其他交通费用1万元、税金及附加费用0万元、其他商品和服务支出1.6万元.共占预算总额的17%，比上年增加2.4万元,增长2%。增长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0.07</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通城县实验幼儿园</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通城县实验幼儿园2021年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MDk2OWU1YTc2NDQyYjNiNWQ1NmZjNjQzMGMzO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5AC2693"/>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681B771E"/>
    <w:rsid w:val="6CFB4D33"/>
    <w:rsid w:val="7386620E"/>
    <w:rsid w:val="74AC4EF4"/>
    <w:rsid w:val="75151B43"/>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2852</Words>
  <Characters>2982</Characters>
  <Lines>0</Lines>
  <Paragraphs>0</Paragraphs>
  <TotalTime>1</TotalTime>
  <ScaleCrop>false</ScaleCrop>
  <LinksUpToDate>false</LinksUpToDate>
  <CharactersWithSpaces>3040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2022-09-05T00:22:16Z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6A0646A7B17B4031BED9E51D474D407F</vt:lpwstr>
  </property>
</Properties>
</file>