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line="495" w:lineRule="atLeast"/>
        <w:ind w:firstLine="560" w:firstLineChars="200"/>
        <w:rPr>
          <w:rFonts w:ascii="仿宋" w:hAnsi="仿宋" w:eastAsia="仿宋" w:cs="仿宋"/>
          <w:sz w:val="28"/>
          <w:szCs w:val="28"/>
          <w:shd w:val="clear" w:color="auto" w:fill="FFFFFF"/>
        </w:rPr>
      </w:pPr>
    </w:p>
    <w:p>
      <w:pPr>
        <w:pStyle w:val="3"/>
        <w:widowControl/>
        <w:spacing w:beforeAutospacing="0" w:afterAutospacing="0" w:line="495" w:lineRule="atLeast"/>
        <w:jc w:val="center"/>
        <w:rPr>
          <w:rFonts w:ascii="仿宋" w:hAnsi="仿宋" w:eastAsia="仿宋" w:cs="仿宋"/>
          <w:b/>
          <w:bCs/>
          <w:sz w:val="32"/>
          <w:szCs w:val="32"/>
        </w:rPr>
      </w:pPr>
      <w:r>
        <w:rPr>
          <w:rFonts w:hint="eastAsia" w:ascii="仿宋" w:hAnsi="仿宋" w:eastAsia="仿宋" w:cs="仿宋"/>
          <w:b/>
          <w:bCs/>
          <w:sz w:val="32"/>
          <w:szCs w:val="32"/>
          <w:shd w:val="clear" w:color="auto" w:fill="FFFFFF"/>
        </w:rPr>
        <w:t>【通城县北港镇中心完小】2021年部门预算公开</w:t>
      </w:r>
    </w:p>
    <w:p>
      <w:pPr>
        <w:pStyle w:val="3"/>
        <w:widowControl/>
        <w:spacing w:beforeAutospacing="0" w:afterAutospacing="0" w:line="480"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 </w:t>
      </w:r>
    </w:p>
    <w:p>
      <w:pPr>
        <w:pStyle w:val="3"/>
        <w:widowControl/>
        <w:spacing w:beforeAutospacing="0" w:afterAutospacing="0" w:line="480" w:lineRule="atLeast"/>
        <w:ind w:firstLine="562" w:firstLineChars="200"/>
        <w:rPr>
          <w:rFonts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目  录</w:t>
      </w:r>
    </w:p>
    <w:p>
      <w:pPr>
        <w:pStyle w:val="3"/>
        <w:widowControl/>
        <w:spacing w:beforeAutospacing="0" w:afterAutospacing="0" w:line="480" w:lineRule="atLeast"/>
        <w:ind w:firstLine="562" w:firstLineChars="200"/>
        <w:rPr>
          <w:rFonts w:ascii="仿宋" w:hAnsi="仿宋" w:eastAsia="仿宋" w:cs="仿宋"/>
        </w:rPr>
      </w:pPr>
      <w:r>
        <w:rPr>
          <w:rStyle w:val="6"/>
          <w:rFonts w:hint="eastAsia" w:ascii="仿宋" w:hAnsi="仿宋" w:eastAsia="仿宋" w:cs="仿宋"/>
          <w:sz w:val="28"/>
          <w:szCs w:val="28"/>
          <w:shd w:val="clear" w:color="auto" w:fill="FFFFFF"/>
        </w:rPr>
        <w:t>第一部分 单位概况</w:t>
      </w:r>
    </w:p>
    <w:p>
      <w:pPr>
        <w:pStyle w:val="3"/>
        <w:widowControl/>
        <w:spacing w:beforeAutospacing="0" w:afterAutospacing="0" w:line="480"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一、主要职能</w:t>
      </w:r>
    </w:p>
    <w:p>
      <w:pPr>
        <w:pStyle w:val="3"/>
        <w:widowControl/>
        <w:spacing w:beforeAutospacing="0" w:afterAutospacing="0" w:line="480"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二、机构设置</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三、年度主要工作任务及目标</w:t>
      </w:r>
    </w:p>
    <w:p>
      <w:pPr>
        <w:pStyle w:val="3"/>
        <w:widowControl/>
        <w:spacing w:beforeAutospacing="0" w:afterAutospacing="0" w:line="480" w:lineRule="atLeast"/>
        <w:ind w:firstLine="562" w:firstLineChars="200"/>
        <w:rPr>
          <w:rFonts w:ascii="仿宋" w:hAnsi="仿宋" w:eastAsia="仿宋" w:cs="仿宋"/>
        </w:rPr>
      </w:pPr>
      <w:r>
        <w:rPr>
          <w:rStyle w:val="6"/>
          <w:rFonts w:hint="eastAsia" w:ascii="仿宋" w:hAnsi="仿宋" w:eastAsia="仿宋" w:cs="仿宋"/>
          <w:sz w:val="28"/>
          <w:szCs w:val="28"/>
          <w:shd w:val="clear" w:color="auto" w:fill="FFFFFF"/>
        </w:rPr>
        <w:t>第二部分 2021年部门预算编制情况及说明</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一、预算收支安排及增减变化情况说明</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二、机关运行经费安排及增减变化情况说明</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三、“三公”经费安排及增减变化情况说明</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四、政府采购预算安排及增减变化情况说明</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五、国有资产占用及增减变化情况说明</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六、政府性基金预算支出情况说明</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七、2021年部门预算绩效情况说明</w:t>
      </w:r>
    </w:p>
    <w:p>
      <w:pPr>
        <w:pStyle w:val="3"/>
        <w:widowControl/>
        <w:spacing w:beforeAutospacing="0" w:afterAutospacing="0" w:line="495" w:lineRule="atLeast"/>
        <w:ind w:firstLine="562" w:firstLineChars="200"/>
        <w:rPr>
          <w:rStyle w:val="6"/>
          <w:rFonts w:ascii="仿宋" w:hAnsi="仿宋" w:eastAsia="仿宋" w:cs="仿宋"/>
          <w:sz w:val="28"/>
          <w:szCs w:val="28"/>
          <w:shd w:val="clear" w:color="auto" w:fill="FFFFFF"/>
        </w:rPr>
      </w:pPr>
      <w:r>
        <w:rPr>
          <w:rStyle w:val="6"/>
          <w:rFonts w:hint="eastAsia" w:ascii="仿宋" w:hAnsi="仿宋" w:eastAsia="仿宋" w:cs="仿宋"/>
          <w:sz w:val="28"/>
          <w:szCs w:val="28"/>
          <w:shd w:val="clear" w:color="auto" w:fill="FFFFFF"/>
        </w:rPr>
        <w:t>第三部分 名词解释</w:t>
      </w:r>
    </w:p>
    <w:p>
      <w:pPr>
        <w:pStyle w:val="3"/>
        <w:widowControl/>
        <w:spacing w:beforeAutospacing="0" w:afterAutospacing="0" w:line="495" w:lineRule="atLeast"/>
        <w:ind w:firstLine="562" w:firstLineChars="200"/>
        <w:rPr>
          <w:rFonts w:ascii="仿宋" w:hAnsi="仿宋" w:eastAsia="仿宋" w:cs="仿宋"/>
        </w:rPr>
      </w:pPr>
      <w:r>
        <w:rPr>
          <w:rStyle w:val="6"/>
          <w:rFonts w:hint="eastAsia" w:ascii="仿宋" w:hAnsi="仿宋" w:eastAsia="仿宋" w:cs="仿宋"/>
          <w:sz w:val="28"/>
          <w:szCs w:val="28"/>
          <w:shd w:val="clear" w:color="auto" w:fill="FFFFFF"/>
        </w:rPr>
        <w:t>第四部分 2021年部门预算表</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一、部门收支总表</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二、部门收入总表</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三、部门支出总表</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四、财政拨款收支总表</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五、一般公共预算支出表</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六、一般公共预算基本支出表</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七、一般公共预算“三公”经费支出表</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八、政府性基金预算支出表</w:t>
      </w:r>
    </w:p>
    <w:p>
      <w:pPr>
        <w:pStyle w:val="3"/>
        <w:widowControl/>
        <w:spacing w:beforeAutospacing="0" w:afterAutospacing="0" w:line="495" w:lineRule="atLeast"/>
        <w:ind w:firstLine="562" w:firstLineChars="200"/>
        <w:rPr>
          <w:rStyle w:val="6"/>
          <w:rFonts w:ascii="仿宋" w:hAnsi="仿宋" w:eastAsia="仿宋" w:cs="仿宋"/>
          <w:sz w:val="28"/>
          <w:szCs w:val="28"/>
          <w:shd w:val="clear" w:color="auto" w:fill="FFFFFF"/>
        </w:rPr>
      </w:pPr>
    </w:p>
    <w:p>
      <w:pPr>
        <w:pStyle w:val="3"/>
        <w:widowControl/>
        <w:spacing w:beforeAutospacing="0" w:afterAutospacing="0" w:line="480"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 </w:t>
      </w:r>
    </w:p>
    <w:p>
      <w:pPr>
        <w:pStyle w:val="3"/>
        <w:widowControl/>
        <w:spacing w:beforeAutospacing="0" w:afterAutospacing="0" w:line="480" w:lineRule="atLeast"/>
        <w:ind w:firstLine="562" w:firstLineChars="200"/>
        <w:rPr>
          <w:rFonts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第一部分 单位概况</w:t>
      </w:r>
    </w:p>
    <w:p>
      <w:pPr>
        <w:pStyle w:val="3"/>
        <w:widowControl/>
        <w:spacing w:beforeAutospacing="0" w:afterAutospacing="0" w:line="480" w:lineRule="atLeast"/>
        <w:ind w:firstLine="562" w:firstLineChars="200"/>
        <w:rPr>
          <w:rFonts w:ascii="仿宋" w:hAnsi="仿宋" w:eastAsia="仿宋" w:cs="仿宋"/>
        </w:rPr>
      </w:pPr>
      <w:r>
        <w:rPr>
          <w:rStyle w:val="6"/>
          <w:rFonts w:hint="eastAsia" w:ascii="仿宋" w:hAnsi="仿宋" w:eastAsia="仿宋" w:cs="仿宋"/>
          <w:sz w:val="28"/>
          <w:szCs w:val="28"/>
          <w:shd w:val="clear" w:color="auto" w:fill="FFFFFF"/>
        </w:rPr>
        <w:t>一、主要职能</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（一）贯彻执行党和国家关于教育改革与发展的各项方针、政策；拟订有关教育的地方性规章草案及规范性文件。</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（二）拟订全校教育事业发展规划并组织实施，统筹规划、指导全校教育、教学体制改革。</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（三）统筹管理本校教育经费；筹措和使用教育经费使用的办法和方案；组织指导全校资助贫困家庭学生工作。</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（四）规划全校的思想政治教育、德育、体育、卫生与艺术教育及国防教育工作。</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（五）贯彻执行国家语言文字工作的方针、政策；编制全校语言文字工作中长期规划；组织指导推广普通话、普通话师资培训和测试工作。</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（六）承办上级交办的其他工作。</w:t>
      </w:r>
    </w:p>
    <w:p>
      <w:pPr>
        <w:pStyle w:val="3"/>
        <w:widowControl/>
        <w:spacing w:beforeAutospacing="0" w:afterAutospacing="0" w:line="480" w:lineRule="atLeast"/>
        <w:ind w:firstLine="562" w:firstLineChars="200"/>
        <w:rPr>
          <w:rStyle w:val="6"/>
          <w:rFonts w:ascii="仿宋" w:hAnsi="仿宋" w:eastAsia="仿宋" w:cs="仿宋"/>
          <w:sz w:val="28"/>
          <w:szCs w:val="28"/>
          <w:shd w:val="clear" w:color="auto" w:fill="FFFFFF"/>
        </w:rPr>
      </w:pPr>
      <w:r>
        <w:rPr>
          <w:rStyle w:val="6"/>
          <w:rFonts w:hint="eastAsia" w:ascii="仿宋" w:hAnsi="仿宋" w:eastAsia="仿宋" w:cs="仿宋"/>
          <w:sz w:val="28"/>
          <w:szCs w:val="28"/>
          <w:shd w:val="clear" w:color="auto" w:fill="FFFFFF"/>
        </w:rPr>
        <w:t>二、机构设置</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从预算单位构成看，通城县北港镇中心完小部门预算包括：</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（一）办公室</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（二）教导处</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（三）财务处</w:t>
      </w:r>
    </w:p>
    <w:p>
      <w:pPr>
        <w:pStyle w:val="3"/>
        <w:widowControl/>
        <w:spacing w:beforeAutospacing="0" w:afterAutospacing="0" w:line="480" w:lineRule="atLeast"/>
        <w:ind w:firstLine="562" w:firstLineChars="200"/>
        <w:rPr>
          <w:rStyle w:val="6"/>
          <w:rFonts w:ascii="仿宋" w:hAnsi="仿宋" w:eastAsia="仿宋" w:cs="仿宋"/>
          <w:sz w:val="28"/>
          <w:szCs w:val="28"/>
          <w:shd w:val="clear" w:color="auto" w:fill="FFFFFF"/>
        </w:rPr>
      </w:pPr>
      <w:bookmarkStart w:id="1" w:name="_GoBack"/>
      <w:bookmarkEnd w:id="1"/>
      <w:r>
        <w:rPr>
          <w:rStyle w:val="6"/>
          <w:rFonts w:hint="eastAsia" w:ascii="仿宋" w:hAnsi="仿宋" w:eastAsia="仿宋" w:cs="仿宋"/>
          <w:sz w:val="28"/>
          <w:szCs w:val="28"/>
          <w:shd w:val="clear" w:color="auto" w:fill="FFFFFF"/>
        </w:rPr>
        <w:t>三、年度主要工作任务及目标</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3. 加大教育改革力度。加强教学教研改革。深化教师管理制度改革，稳步实施“县管校聘”改革。坚持教育去行政化。                                       </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4、夯实教师队伍根基。注重教师师德师风建设，提升教师专业素质能力，统筹优化教师资源配置，注重青年教师管理培养。优先完善教师保障机制，努力提升教师的职业幸福感、获得感。</w:t>
      </w:r>
    </w:p>
    <w:p>
      <w:pPr>
        <w:pStyle w:val="3"/>
        <w:widowControl/>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5、营造教育良好生态。办好人民满意教育。统筹各类教育发展。</w:t>
      </w:r>
    </w:p>
    <w:p>
      <w:pPr>
        <w:pStyle w:val="3"/>
        <w:widowControl/>
        <w:spacing w:beforeAutospacing="0" w:afterAutospacing="0" w:line="480" w:lineRule="atLeast"/>
        <w:ind w:firstLine="562" w:firstLineChars="200"/>
        <w:rPr>
          <w:rFonts w:ascii="仿宋" w:hAnsi="仿宋" w:eastAsia="仿宋" w:cs="仿宋"/>
        </w:rPr>
      </w:pPr>
      <w:r>
        <w:rPr>
          <w:rStyle w:val="6"/>
          <w:rFonts w:hint="eastAsia" w:ascii="仿宋" w:hAnsi="仿宋" w:eastAsia="仿宋" w:cs="仿宋"/>
          <w:sz w:val="28"/>
          <w:szCs w:val="28"/>
          <w:shd w:val="clear" w:color="auto" w:fill="FFFFFF"/>
        </w:rPr>
        <w:t>第二部分 2021年部门预算编制情况及说明</w:t>
      </w:r>
    </w:p>
    <w:p>
      <w:pPr>
        <w:pStyle w:val="3"/>
        <w:widowControl/>
        <w:spacing w:beforeAutospacing="0" w:afterAutospacing="0" w:line="495" w:lineRule="atLeast"/>
        <w:ind w:firstLine="562" w:firstLineChars="200"/>
        <w:rPr>
          <w:rFonts w:ascii="仿宋" w:hAnsi="仿宋" w:eastAsia="仿宋" w:cs="仿宋"/>
        </w:rPr>
      </w:pPr>
      <w:r>
        <w:rPr>
          <w:rStyle w:val="6"/>
          <w:rFonts w:hint="eastAsia" w:ascii="仿宋" w:hAnsi="仿宋" w:eastAsia="仿宋" w:cs="仿宋"/>
          <w:sz w:val="28"/>
          <w:szCs w:val="28"/>
          <w:shd w:val="clear" w:color="auto" w:fill="FFFFFF"/>
        </w:rPr>
        <w:t>一、预算收支安排及增减变化情况说明</w:t>
      </w:r>
    </w:p>
    <w:p>
      <w:pPr>
        <w:pStyle w:val="3"/>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通城县北港镇中心完小2021年收入预算总额为4</w:t>
      </w:r>
      <w:r>
        <w:rPr>
          <w:rFonts w:ascii="仿宋" w:hAnsi="仿宋" w:eastAsia="仿宋" w:cs="仿宋"/>
          <w:sz w:val="28"/>
          <w:szCs w:val="28"/>
          <w:shd w:val="clear" w:color="auto" w:fill="FFFFFF"/>
        </w:rPr>
        <w:t>84.84</w:t>
      </w:r>
      <w:r>
        <w:rPr>
          <w:rFonts w:hint="eastAsia" w:ascii="仿宋" w:hAnsi="仿宋" w:eastAsia="仿宋" w:cs="仿宋"/>
          <w:sz w:val="28"/>
          <w:szCs w:val="28"/>
          <w:shd w:val="clear" w:color="auto" w:fill="FFFFFF"/>
        </w:rPr>
        <w:t>万元，比上年减少1</w:t>
      </w:r>
      <w:r>
        <w:rPr>
          <w:rFonts w:ascii="仿宋" w:hAnsi="仿宋" w:eastAsia="仿宋" w:cs="仿宋"/>
          <w:sz w:val="28"/>
          <w:szCs w:val="28"/>
          <w:shd w:val="clear" w:color="auto" w:fill="FFFFFF"/>
        </w:rPr>
        <w:t>.75</w:t>
      </w:r>
      <w:r>
        <w:rPr>
          <w:rFonts w:hint="eastAsia" w:ascii="仿宋" w:hAnsi="仿宋" w:eastAsia="仿宋" w:cs="仿宋"/>
          <w:sz w:val="28"/>
          <w:szCs w:val="28"/>
          <w:shd w:val="clear" w:color="auto" w:fill="FFFFFF"/>
        </w:rPr>
        <w:t>万元,下降0</w:t>
      </w:r>
      <w:r>
        <w:rPr>
          <w:rFonts w:ascii="仿宋" w:hAnsi="仿宋" w:eastAsia="仿宋" w:cs="仿宋"/>
          <w:sz w:val="28"/>
          <w:szCs w:val="28"/>
          <w:shd w:val="clear" w:color="auto" w:fill="FFFFFF"/>
        </w:rPr>
        <w:t>.4</w:t>
      </w:r>
      <w:r>
        <w:rPr>
          <w:rFonts w:hint="eastAsia" w:ascii="仿宋" w:hAnsi="仿宋" w:eastAsia="仿宋" w:cs="仿宋"/>
          <w:sz w:val="28"/>
          <w:szCs w:val="28"/>
          <w:shd w:val="clear" w:color="auto" w:fill="FFFFFF"/>
        </w:rPr>
        <w:t>%，其中：一般公共预算财政拨款收入4</w:t>
      </w:r>
      <w:r>
        <w:rPr>
          <w:rFonts w:ascii="仿宋" w:hAnsi="仿宋" w:eastAsia="仿宋" w:cs="仿宋"/>
          <w:sz w:val="28"/>
          <w:szCs w:val="28"/>
          <w:shd w:val="clear" w:color="auto" w:fill="FFFFFF"/>
        </w:rPr>
        <w:t>84.84</w:t>
      </w:r>
      <w:r>
        <w:rPr>
          <w:rFonts w:hint="eastAsia" w:ascii="仿宋" w:hAnsi="仿宋" w:eastAsia="仿宋" w:cs="仿宋"/>
          <w:sz w:val="28"/>
          <w:szCs w:val="28"/>
          <w:shd w:val="clear" w:color="auto" w:fill="FFFFFF"/>
        </w:rPr>
        <w:t>万元，比上年减少1</w:t>
      </w:r>
      <w:r>
        <w:rPr>
          <w:rFonts w:ascii="仿宋" w:hAnsi="仿宋" w:eastAsia="仿宋" w:cs="仿宋"/>
          <w:sz w:val="28"/>
          <w:szCs w:val="28"/>
          <w:shd w:val="clear" w:color="auto" w:fill="FFFFFF"/>
        </w:rPr>
        <w:t>.75</w:t>
      </w:r>
      <w:r>
        <w:rPr>
          <w:rFonts w:hint="eastAsia" w:ascii="仿宋" w:hAnsi="仿宋" w:eastAsia="仿宋" w:cs="仿宋"/>
          <w:sz w:val="28"/>
          <w:szCs w:val="28"/>
          <w:shd w:val="clear" w:color="auto" w:fill="FFFFFF"/>
        </w:rPr>
        <w:t>万元，下降0</w:t>
      </w:r>
      <w:r>
        <w:rPr>
          <w:rFonts w:ascii="仿宋" w:hAnsi="仿宋" w:eastAsia="仿宋" w:cs="仿宋"/>
          <w:sz w:val="28"/>
          <w:szCs w:val="28"/>
          <w:shd w:val="clear" w:color="auto" w:fill="FFFFFF"/>
        </w:rPr>
        <w:t>.4</w:t>
      </w:r>
      <w:r>
        <w:rPr>
          <w:rFonts w:hint="eastAsia" w:ascii="仿宋" w:hAnsi="仿宋" w:eastAsia="仿宋" w:cs="仿宋"/>
          <w:sz w:val="28"/>
          <w:szCs w:val="28"/>
          <w:shd w:val="clear" w:color="auto" w:fill="FFFFFF"/>
        </w:rPr>
        <w:t>%；政府性基金拨款收入0万元，上年度为0；社保基金拨款收入0万元，比上年增加0万元，增长0%。上年结转0万元，本年度结转为0。总规模减少的主要原因：根据要求压缩了项目支出数,教育十大工程建设支出减少，教育化债项目已完成。</w:t>
      </w:r>
    </w:p>
    <w:p>
      <w:pPr>
        <w:pStyle w:val="3"/>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通城县北港镇中心完小2021年支出预算总额4</w:t>
      </w:r>
      <w:r>
        <w:rPr>
          <w:rFonts w:ascii="仿宋" w:hAnsi="仿宋" w:eastAsia="仿宋" w:cs="仿宋"/>
          <w:sz w:val="28"/>
          <w:szCs w:val="28"/>
          <w:shd w:val="clear" w:color="auto" w:fill="FFFFFF"/>
        </w:rPr>
        <w:t>84.84</w:t>
      </w:r>
      <w:r>
        <w:rPr>
          <w:rFonts w:hint="eastAsia" w:ascii="仿宋" w:hAnsi="仿宋" w:eastAsia="仿宋" w:cs="仿宋"/>
          <w:sz w:val="28"/>
          <w:szCs w:val="28"/>
          <w:shd w:val="clear" w:color="auto" w:fill="FFFFFF"/>
        </w:rPr>
        <w:t>万元，比上年减少1</w:t>
      </w:r>
      <w:r>
        <w:rPr>
          <w:rFonts w:ascii="仿宋" w:hAnsi="仿宋" w:eastAsia="仿宋" w:cs="仿宋"/>
          <w:sz w:val="28"/>
          <w:szCs w:val="28"/>
          <w:shd w:val="clear" w:color="auto" w:fill="FFFFFF"/>
        </w:rPr>
        <w:t>.75</w:t>
      </w:r>
      <w:r>
        <w:rPr>
          <w:rFonts w:hint="eastAsia" w:ascii="仿宋" w:hAnsi="仿宋" w:eastAsia="仿宋" w:cs="仿宋"/>
          <w:sz w:val="28"/>
          <w:szCs w:val="28"/>
          <w:shd w:val="clear" w:color="auto" w:fill="FFFFFF"/>
        </w:rPr>
        <w:t>万元,下降0</w:t>
      </w:r>
      <w:r>
        <w:rPr>
          <w:rFonts w:ascii="仿宋" w:hAnsi="仿宋" w:eastAsia="仿宋" w:cs="仿宋"/>
          <w:sz w:val="28"/>
          <w:szCs w:val="28"/>
          <w:shd w:val="clear" w:color="auto" w:fill="FFFFFF"/>
        </w:rPr>
        <w:t>.4</w:t>
      </w:r>
      <w:r>
        <w:rPr>
          <w:rFonts w:hint="eastAsia" w:ascii="仿宋" w:hAnsi="仿宋" w:eastAsia="仿宋" w:cs="仿宋"/>
          <w:sz w:val="28"/>
          <w:szCs w:val="28"/>
          <w:shd w:val="clear" w:color="auto" w:fill="FFFFFF"/>
        </w:rPr>
        <w:t>%，其中：基本保障支出4</w:t>
      </w:r>
      <w:r>
        <w:rPr>
          <w:rFonts w:ascii="仿宋" w:hAnsi="仿宋" w:eastAsia="仿宋" w:cs="仿宋"/>
          <w:sz w:val="28"/>
          <w:szCs w:val="28"/>
          <w:shd w:val="clear" w:color="auto" w:fill="FFFFFF"/>
        </w:rPr>
        <w:t>84.84</w:t>
      </w:r>
      <w:r>
        <w:rPr>
          <w:rFonts w:hint="eastAsia" w:ascii="仿宋" w:hAnsi="仿宋" w:eastAsia="仿宋" w:cs="仿宋"/>
          <w:sz w:val="28"/>
          <w:szCs w:val="28"/>
          <w:shd w:val="clear" w:color="auto" w:fill="FFFFFF"/>
        </w:rPr>
        <w:t>万元；项目支出0万元；项目支出不可预见0万元。下降主要原因：</w:t>
      </w:r>
      <w:bookmarkStart w:id="0" w:name="_Hlk113175018"/>
      <w:r>
        <w:rPr>
          <w:rFonts w:hint="eastAsia" w:ascii="仿宋" w:hAnsi="仿宋" w:eastAsia="仿宋" w:cs="仿宋"/>
          <w:sz w:val="28"/>
          <w:szCs w:val="28"/>
          <w:shd w:val="clear" w:color="auto" w:fill="FFFFFF"/>
        </w:rPr>
        <w:t>根据要求压缩了项目支出数,教育十大工程建设支出减少，教育化债项目已完成。</w:t>
      </w:r>
    </w:p>
    <w:bookmarkEnd w:id="0"/>
    <w:p>
      <w:pPr>
        <w:pStyle w:val="3"/>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通城县北港镇中心完小2021年政府性基金预算支出为0万元。与上年持平。</w:t>
      </w:r>
    </w:p>
    <w:p>
      <w:pPr>
        <w:pStyle w:val="3"/>
        <w:widowControl/>
        <w:spacing w:beforeAutospacing="0" w:afterAutospacing="0" w:line="495" w:lineRule="atLeast"/>
        <w:ind w:firstLine="562" w:firstLineChars="200"/>
        <w:rPr>
          <w:rFonts w:ascii="仿宋" w:hAnsi="仿宋" w:eastAsia="仿宋" w:cs="仿宋"/>
        </w:rPr>
      </w:pPr>
      <w:r>
        <w:rPr>
          <w:rStyle w:val="6"/>
          <w:rFonts w:hint="eastAsia" w:ascii="仿宋" w:hAnsi="仿宋" w:eastAsia="仿宋" w:cs="仿宋"/>
          <w:sz w:val="28"/>
          <w:szCs w:val="28"/>
          <w:shd w:val="clear" w:color="auto" w:fill="FFFFFF"/>
        </w:rPr>
        <w:t>二、学校运行经费安排及增减变化情况说明</w:t>
      </w:r>
    </w:p>
    <w:p>
      <w:pPr>
        <w:pStyle w:val="3"/>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通城县北港镇中心完小2021年运行经费（公用经费）预算6</w:t>
      </w:r>
      <w:r>
        <w:rPr>
          <w:rFonts w:ascii="仿宋" w:hAnsi="仿宋" w:eastAsia="仿宋" w:cs="仿宋"/>
          <w:sz w:val="28"/>
          <w:szCs w:val="28"/>
          <w:shd w:val="clear" w:color="auto" w:fill="FFFFFF"/>
        </w:rPr>
        <w:t>8.84</w:t>
      </w:r>
      <w:r>
        <w:rPr>
          <w:rFonts w:hint="eastAsia" w:ascii="仿宋" w:hAnsi="仿宋" w:eastAsia="仿宋" w:cs="仿宋"/>
          <w:sz w:val="28"/>
          <w:szCs w:val="28"/>
          <w:shd w:val="clear" w:color="auto" w:fill="FFFFFF"/>
        </w:rPr>
        <w:t>万元。其中：办公费2</w:t>
      </w:r>
      <w:r>
        <w:rPr>
          <w:rFonts w:ascii="仿宋" w:hAnsi="仿宋" w:eastAsia="仿宋" w:cs="仿宋"/>
          <w:sz w:val="28"/>
          <w:szCs w:val="28"/>
          <w:shd w:val="clear" w:color="auto" w:fill="FFFFFF"/>
        </w:rPr>
        <w:t>6.19</w:t>
      </w:r>
      <w:r>
        <w:rPr>
          <w:rFonts w:hint="eastAsia" w:ascii="仿宋" w:hAnsi="仿宋" w:eastAsia="仿宋" w:cs="仿宋"/>
          <w:sz w:val="28"/>
          <w:szCs w:val="28"/>
          <w:shd w:val="clear" w:color="auto" w:fill="FFFFFF"/>
        </w:rPr>
        <w:t>万元、印刷费1</w:t>
      </w:r>
      <w:r>
        <w:rPr>
          <w:rFonts w:ascii="仿宋" w:hAnsi="仿宋" w:eastAsia="仿宋" w:cs="仿宋"/>
          <w:sz w:val="28"/>
          <w:szCs w:val="28"/>
          <w:shd w:val="clear" w:color="auto" w:fill="FFFFFF"/>
        </w:rPr>
        <w:t>.00</w:t>
      </w:r>
      <w:r>
        <w:rPr>
          <w:rFonts w:hint="eastAsia" w:ascii="仿宋" w:hAnsi="仿宋" w:eastAsia="仿宋" w:cs="仿宋"/>
          <w:sz w:val="28"/>
          <w:szCs w:val="28"/>
          <w:shd w:val="clear" w:color="auto" w:fill="FFFFFF"/>
        </w:rPr>
        <w:t>万元、手续费0</w:t>
      </w:r>
      <w:r>
        <w:rPr>
          <w:rFonts w:ascii="仿宋" w:hAnsi="仿宋" w:eastAsia="仿宋" w:cs="仿宋"/>
          <w:sz w:val="28"/>
          <w:szCs w:val="28"/>
          <w:shd w:val="clear" w:color="auto" w:fill="FFFFFF"/>
        </w:rPr>
        <w:t>.00</w:t>
      </w:r>
      <w:r>
        <w:rPr>
          <w:rFonts w:hint="eastAsia" w:ascii="仿宋" w:hAnsi="仿宋" w:eastAsia="仿宋" w:cs="仿宋"/>
          <w:sz w:val="28"/>
          <w:szCs w:val="28"/>
          <w:shd w:val="clear" w:color="auto" w:fill="FFFFFF"/>
        </w:rPr>
        <w:t>万元、水费0</w:t>
      </w:r>
      <w:r>
        <w:rPr>
          <w:rFonts w:ascii="仿宋" w:hAnsi="仿宋" w:eastAsia="仿宋" w:cs="仿宋"/>
          <w:sz w:val="28"/>
          <w:szCs w:val="28"/>
          <w:shd w:val="clear" w:color="auto" w:fill="FFFFFF"/>
        </w:rPr>
        <w:t>.87</w:t>
      </w:r>
      <w:r>
        <w:rPr>
          <w:rFonts w:hint="eastAsia" w:ascii="仿宋" w:hAnsi="仿宋" w:eastAsia="仿宋" w:cs="仿宋"/>
          <w:sz w:val="28"/>
          <w:szCs w:val="28"/>
          <w:shd w:val="clear" w:color="auto" w:fill="FFFFFF"/>
        </w:rPr>
        <w:t>万元、电费1</w:t>
      </w:r>
      <w:r>
        <w:rPr>
          <w:rFonts w:ascii="仿宋" w:hAnsi="仿宋" w:eastAsia="仿宋" w:cs="仿宋"/>
          <w:sz w:val="28"/>
          <w:szCs w:val="28"/>
          <w:shd w:val="clear" w:color="auto" w:fill="FFFFFF"/>
        </w:rPr>
        <w:t>.96</w:t>
      </w:r>
      <w:r>
        <w:rPr>
          <w:rFonts w:hint="eastAsia" w:ascii="仿宋" w:hAnsi="仿宋" w:eastAsia="仿宋" w:cs="仿宋"/>
          <w:sz w:val="28"/>
          <w:szCs w:val="28"/>
          <w:shd w:val="clear" w:color="auto" w:fill="FFFFFF"/>
        </w:rPr>
        <w:t>万元、邮电费1</w:t>
      </w:r>
      <w:r>
        <w:rPr>
          <w:rFonts w:ascii="仿宋" w:hAnsi="仿宋" w:eastAsia="仿宋" w:cs="仿宋"/>
          <w:sz w:val="28"/>
          <w:szCs w:val="28"/>
          <w:shd w:val="clear" w:color="auto" w:fill="FFFFFF"/>
        </w:rPr>
        <w:t>.00</w:t>
      </w:r>
      <w:r>
        <w:rPr>
          <w:rFonts w:hint="eastAsia" w:ascii="仿宋" w:hAnsi="仿宋" w:eastAsia="仿宋" w:cs="仿宋"/>
          <w:sz w:val="28"/>
          <w:szCs w:val="28"/>
          <w:shd w:val="clear" w:color="auto" w:fill="FFFFFF"/>
        </w:rPr>
        <w:t>万元、物业管理费0</w:t>
      </w:r>
      <w:r>
        <w:rPr>
          <w:rFonts w:ascii="仿宋" w:hAnsi="仿宋" w:eastAsia="仿宋" w:cs="仿宋"/>
          <w:sz w:val="28"/>
          <w:szCs w:val="28"/>
          <w:shd w:val="clear" w:color="auto" w:fill="FFFFFF"/>
        </w:rPr>
        <w:t>.80</w:t>
      </w:r>
      <w:r>
        <w:rPr>
          <w:rFonts w:hint="eastAsia" w:ascii="仿宋" w:hAnsi="仿宋" w:eastAsia="仿宋" w:cs="仿宋"/>
          <w:sz w:val="28"/>
          <w:szCs w:val="28"/>
          <w:shd w:val="clear" w:color="auto" w:fill="FFFFFF"/>
        </w:rPr>
        <w:t>万元、差旅费0</w:t>
      </w:r>
      <w:r>
        <w:rPr>
          <w:rFonts w:ascii="仿宋" w:hAnsi="仿宋" w:eastAsia="仿宋" w:cs="仿宋"/>
          <w:sz w:val="28"/>
          <w:szCs w:val="28"/>
          <w:shd w:val="clear" w:color="auto" w:fill="FFFFFF"/>
        </w:rPr>
        <w:t>.46</w:t>
      </w:r>
      <w:r>
        <w:rPr>
          <w:rFonts w:hint="eastAsia" w:ascii="仿宋" w:hAnsi="仿宋" w:eastAsia="仿宋" w:cs="仿宋"/>
          <w:sz w:val="28"/>
          <w:szCs w:val="28"/>
          <w:shd w:val="clear" w:color="auto" w:fill="FFFFFF"/>
        </w:rPr>
        <w:t>万元、维修（护）费2</w:t>
      </w:r>
      <w:r>
        <w:rPr>
          <w:rFonts w:ascii="仿宋" w:hAnsi="仿宋" w:eastAsia="仿宋" w:cs="仿宋"/>
          <w:sz w:val="28"/>
          <w:szCs w:val="28"/>
          <w:shd w:val="clear" w:color="auto" w:fill="FFFFFF"/>
        </w:rPr>
        <w:t>0.65</w:t>
      </w:r>
      <w:r>
        <w:rPr>
          <w:rFonts w:hint="eastAsia" w:ascii="仿宋" w:hAnsi="仿宋" w:eastAsia="仿宋" w:cs="仿宋"/>
          <w:sz w:val="28"/>
          <w:szCs w:val="28"/>
          <w:shd w:val="clear" w:color="auto" w:fill="FFFFFF"/>
        </w:rPr>
        <w:t>万元、租赁费0</w:t>
      </w:r>
      <w:r>
        <w:rPr>
          <w:rFonts w:ascii="仿宋" w:hAnsi="仿宋" w:eastAsia="仿宋" w:cs="仿宋"/>
          <w:sz w:val="28"/>
          <w:szCs w:val="28"/>
          <w:shd w:val="clear" w:color="auto" w:fill="FFFFFF"/>
        </w:rPr>
        <w:t>.00</w:t>
      </w:r>
      <w:r>
        <w:rPr>
          <w:rFonts w:hint="eastAsia" w:ascii="仿宋" w:hAnsi="仿宋" w:eastAsia="仿宋" w:cs="仿宋"/>
          <w:sz w:val="28"/>
          <w:szCs w:val="28"/>
          <w:shd w:val="clear" w:color="auto" w:fill="FFFFFF"/>
        </w:rPr>
        <w:t>万元、会议费0</w:t>
      </w:r>
      <w:r>
        <w:rPr>
          <w:rFonts w:ascii="仿宋" w:hAnsi="仿宋" w:eastAsia="仿宋" w:cs="仿宋"/>
          <w:sz w:val="28"/>
          <w:szCs w:val="28"/>
          <w:shd w:val="clear" w:color="auto" w:fill="FFFFFF"/>
        </w:rPr>
        <w:t>.60</w:t>
      </w:r>
      <w:r>
        <w:rPr>
          <w:rFonts w:hint="eastAsia" w:ascii="仿宋" w:hAnsi="仿宋" w:eastAsia="仿宋" w:cs="仿宋"/>
          <w:sz w:val="28"/>
          <w:szCs w:val="28"/>
          <w:shd w:val="clear" w:color="auto" w:fill="FFFFFF"/>
        </w:rPr>
        <w:t>万元、培训费3</w:t>
      </w:r>
      <w:r>
        <w:rPr>
          <w:rFonts w:ascii="仿宋" w:hAnsi="仿宋" w:eastAsia="仿宋" w:cs="仿宋"/>
          <w:sz w:val="28"/>
          <w:szCs w:val="28"/>
          <w:shd w:val="clear" w:color="auto" w:fill="FFFFFF"/>
        </w:rPr>
        <w:t>.65</w:t>
      </w:r>
      <w:r>
        <w:rPr>
          <w:rFonts w:hint="eastAsia" w:ascii="仿宋" w:hAnsi="仿宋" w:eastAsia="仿宋" w:cs="仿宋"/>
          <w:sz w:val="28"/>
          <w:szCs w:val="28"/>
          <w:shd w:val="clear" w:color="auto" w:fill="FFFFFF"/>
        </w:rPr>
        <w:t>万元、公务接待费0</w:t>
      </w:r>
      <w:r>
        <w:rPr>
          <w:rFonts w:ascii="仿宋" w:hAnsi="仿宋" w:eastAsia="仿宋" w:cs="仿宋"/>
          <w:sz w:val="28"/>
          <w:szCs w:val="28"/>
          <w:shd w:val="clear" w:color="auto" w:fill="FFFFFF"/>
        </w:rPr>
        <w:t>.00</w:t>
      </w:r>
      <w:r>
        <w:rPr>
          <w:rFonts w:hint="eastAsia" w:ascii="仿宋" w:hAnsi="仿宋" w:eastAsia="仿宋" w:cs="仿宋"/>
          <w:sz w:val="28"/>
          <w:szCs w:val="28"/>
          <w:shd w:val="clear" w:color="auto" w:fill="FFFFFF"/>
        </w:rPr>
        <w:t>万元、专用材料费0</w:t>
      </w:r>
      <w:r>
        <w:rPr>
          <w:rFonts w:ascii="仿宋" w:hAnsi="仿宋" w:eastAsia="仿宋" w:cs="仿宋"/>
          <w:sz w:val="28"/>
          <w:szCs w:val="28"/>
          <w:shd w:val="clear" w:color="auto" w:fill="FFFFFF"/>
        </w:rPr>
        <w:t>.40</w:t>
      </w:r>
      <w:r>
        <w:rPr>
          <w:rFonts w:hint="eastAsia" w:ascii="仿宋" w:hAnsi="仿宋" w:eastAsia="仿宋" w:cs="仿宋"/>
          <w:sz w:val="28"/>
          <w:szCs w:val="28"/>
          <w:shd w:val="clear" w:color="auto" w:fill="FFFFFF"/>
        </w:rPr>
        <w:t>万元、劳务费3</w:t>
      </w:r>
      <w:r>
        <w:rPr>
          <w:rFonts w:ascii="仿宋" w:hAnsi="仿宋" w:eastAsia="仿宋" w:cs="仿宋"/>
          <w:sz w:val="28"/>
          <w:szCs w:val="28"/>
          <w:shd w:val="clear" w:color="auto" w:fill="FFFFFF"/>
        </w:rPr>
        <w:t>.70</w:t>
      </w:r>
      <w:r>
        <w:rPr>
          <w:rFonts w:hint="eastAsia" w:ascii="仿宋" w:hAnsi="仿宋" w:eastAsia="仿宋" w:cs="仿宋"/>
          <w:sz w:val="28"/>
          <w:szCs w:val="28"/>
          <w:shd w:val="clear" w:color="auto" w:fill="FFFFFF"/>
        </w:rPr>
        <w:t>万元、委托业务费0</w:t>
      </w:r>
      <w:r>
        <w:rPr>
          <w:rFonts w:ascii="仿宋" w:hAnsi="仿宋" w:eastAsia="仿宋" w:cs="仿宋"/>
          <w:sz w:val="28"/>
          <w:szCs w:val="28"/>
          <w:shd w:val="clear" w:color="auto" w:fill="FFFFFF"/>
        </w:rPr>
        <w:t>.30</w:t>
      </w:r>
      <w:r>
        <w:rPr>
          <w:rFonts w:hint="eastAsia" w:ascii="仿宋" w:hAnsi="仿宋" w:eastAsia="仿宋" w:cs="仿宋"/>
          <w:sz w:val="28"/>
          <w:szCs w:val="28"/>
          <w:shd w:val="clear" w:color="auto" w:fill="FFFFFF"/>
        </w:rPr>
        <w:t>万元、工会经费6</w:t>
      </w:r>
      <w:r>
        <w:rPr>
          <w:rFonts w:ascii="仿宋" w:hAnsi="仿宋" w:eastAsia="仿宋" w:cs="仿宋"/>
          <w:sz w:val="28"/>
          <w:szCs w:val="28"/>
          <w:shd w:val="clear" w:color="auto" w:fill="FFFFFF"/>
        </w:rPr>
        <w:t>.96</w:t>
      </w:r>
      <w:r>
        <w:rPr>
          <w:rFonts w:hint="eastAsia" w:ascii="仿宋" w:hAnsi="仿宋" w:eastAsia="仿宋" w:cs="仿宋"/>
          <w:sz w:val="28"/>
          <w:szCs w:val="28"/>
          <w:shd w:val="clear" w:color="auto" w:fill="FFFFFF"/>
        </w:rPr>
        <w:t>万元、其他交通费用0</w:t>
      </w:r>
      <w:r>
        <w:rPr>
          <w:rFonts w:ascii="仿宋" w:hAnsi="仿宋" w:eastAsia="仿宋" w:cs="仿宋"/>
          <w:sz w:val="28"/>
          <w:szCs w:val="28"/>
          <w:shd w:val="clear" w:color="auto" w:fill="FFFFFF"/>
        </w:rPr>
        <w:t>.30</w:t>
      </w:r>
      <w:r>
        <w:rPr>
          <w:rFonts w:hint="eastAsia" w:ascii="仿宋" w:hAnsi="仿宋" w:eastAsia="仿宋" w:cs="仿宋"/>
          <w:sz w:val="28"/>
          <w:szCs w:val="28"/>
          <w:shd w:val="clear" w:color="auto" w:fill="FFFFFF"/>
        </w:rPr>
        <w:t>万元、税金及附加费用0万元、其他商品和服务支出0万元。占预算总额的1</w:t>
      </w:r>
      <w:r>
        <w:rPr>
          <w:rFonts w:ascii="仿宋" w:hAnsi="仿宋" w:eastAsia="仿宋" w:cs="仿宋"/>
          <w:sz w:val="28"/>
          <w:szCs w:val="28"/>
          <w:shd w:val="clear" w:color="auto" w:fill="FFFFFF"/>
        </w:rPr>
        <w:t>4</w:t>
      </w:r>
      <w:r>
        <w:rPr>
          <w:rFonts w:hint="eastAsia" w:ascii="仿宋" w:hAnsi="仿宋" w:eastAsia="仿宋" w:cs="仿宋"/>
          <w:sz w:val="28"/>
          <w:szCs w:val="28"/>
          <w:shd w:val="clear" w:color="auto" w:fill="FFFFFF"/>
        </w:rPr>
        <w:t>%，比上年增加5</w:t>
      </w:r>
      <w:r>
        <w:rPr>
          <w:rFonts w:ascii="仿宋" w:hAnsi="仿宋" w:eastAsia="仿宋" w:cs="仿宋"/>
          <w:sz w:val="28"/>
          <w:szCs w:val="28"/>
          <w:shd w:val="clear" w:color="auto" w:fill="FFFFFF"/>
        </w:rPr>
        <w:t>.41</w:t>
      </w:r>
      <w:r>
        <w:rPr>
          <w:rFonts w:hint="eastAsia" w:ascii="仿宋" w:hAnsi="仿宋" w:eastAsia="仿宋" w:cs="仿宋"/>
          <w:sz w:val="28"/>
          <w:szCs w:val="28"/>
          <w:shd w:val="clear" w:color="auto" w:fill="FFFFFF"/>
        </w:rPr>
        <w:t>万元,增长9%。增长原因：主要是第三方服务费用增加，学生数增加。</w:t>
      </w:r>
    </w:p>
    <w:p>
      <w:pPr>
        <w:pStyle w:val="3"/>
        <w:widowControl/>
        <w:spacing w:beforeAutospacing="0" w:afterAutospacing="0" w:line="495" w:lineRule="atLeast"/>
        <w:ind w:firstLine="562" w:firstLineChars="200"/>
        <w:rPr>
          <w:rFonts w:ascii="仿宋" w:hAnsi="仿宋" w:eastAsia="仿宋" w:cs="仿宋"/>
        </w:rPr>
      </w:pPr>
      <w:r>
        <w:rPr>
          <w:rStyle w:val="6"/>
          <w:rFonts w:hint="eastAsia" w:ascii="仿宋" w:hAnsi="仿宋" w:eastAsia="仿宋" w:cs="仿宋"/>
          <w:sz w:val="28"/>
          <w:szCs w:val="28"/>
          <w:shd w:val="clear" w:color="auto" w:fill="FFFFFF"/>
        </w:rPr>
        <w:t>三、“三公”经费安排及增减变化情况说明</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通城县北港镇中心完小2021年“三公”经费预算0万元，占预算总额的0%，比上年减少0万元,下降0%。下降原因：认真贯彻落实中央、省、市、县关于厉行节约的各项要求，进一步从严控制“三公经费”。</w:t>
      </w:r>
    </w:p>
    <w:p>
      <w:pPr>
        <w:pStyle w:val="3"/>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1、因公出国（境）费用0万元，与上年度持平；</w:t>
      </w:r>
    </w:p>
    <w:p>
      <w:pPr>
        <w:pStyle w:val="3"/>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2、公务用车购置和运行费0万元，其中：公务用车运行维护费0万元，公务用车购置费0万元。与上年度持平；</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3、公务接待费0万元。比上年减少0万元,下降0%。下降原因：认真贯彻落实中央、省、市、县关于厉行节约的各项要求，进一步从严控制“三公经费”。</w:t>
      </w:r>
    </w:p>
    <w:p>
      <w:pPr>
        <w:pStyle w:val="3"/>
        <w:widowControl/>
        <w:spacing w:beforeAutospacing="0" w:afterAutospacing="0" w:line="495" w:lineRule="atLeast"/>
        <w:ind w:firstLine="562" w:firstLineChars="200"/>
        <w:rPr>
          <w:rFonts w:ascii="仿宋" w:hAnsi="仿宋" w:eastAsia="仿宋" w:cs="仿宋"/>
        </w:rPr>
      </w:pPr>
      <w:r>
        <w:rPr>
          <w:rStyle w:val="6"/>
          <w:rFonts w:hint="eastAsia" w:ascii="仿宋" w:hAnsi="仿宋" w:eastAsia="仿宋" w:cs="仿宋"/>
          <w:sz w:val="28"/>
          <w:szCs w:val="28"/>
          <w:shd w:val="clear" w:color="auto" w:fill="FFFFFF"/>
        </w:rPr>
        <w:t>四、政府采购预算安排及增减变化情况说明</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通城县北港镇中心完小严格按照《中华人民共和国政府采购法》《通城县政府集中采购目录及标准》有关规定，切实做到“应编尽编，应采尽采”。2021年，我单位政府采购预算0万元，其中货物类采购预算0万元，工程类采购预算0万元，服务类采购预算0万元。比上年减少0万元,下降0%。下降原因：主要是压缩了行政支出，减少了办公设备购置。</w:t>
      </w:r>
    </w:p>
    <w:p>
      <w:pPr>
        <w:pStyle w:val="3"/>
        <w:widowControl/>
        <w:spacing w:beforeAutospacing="0" w:afterAutospacing="0" w:line="495" w:lineRule="atLeast"/>
        <w:ind w:firstLine="562" w:firstLineChars="200"/>
        <w:rPr>
          <w:rFonts w:ascii="仿宋" w:hAnsi="仿宋" w:eastAsia="仿宋" w:cs="仿宋"/>
        </w:rPr>
      </w:pPr>
      <w:r>
        <w:rPr>
          <w:rStyle w:val="6"/>
          <w:rFonts w:hint="eastAsia" w:ascii="仿宋" w:hAnsi="仿宋" w:eastAsia="仿宋" w:cs="仿宋"/>
          <w:sz w:val="28"/>
          <w:szCs w:val="28"/>
          <w:shd w:val="clear" w:color="auto" w:fill="FFFFFF"/>
        </w:rPr>
        <w:t>五、国有资产占用及增减变化情况说明</w:t>
      </w:r>
    </w:p>
    <w:p>
      <w:pPr>
        <w:pStyle w:val="3"/>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截至2020年12月31日，本部门保有车辆共有0辆，其中，领导干部用车0辆，一般公务用车0辆、特种专业技术用车0辆，其他用车0辆，其他用车主要是机要通信用车0台，应急公务用车0台，离退休干部服务用车0台；单位价值50万元以上通用设备0台（套）。单价100万元以上专用设备0套。应急公务用车、价值50万元以上通用设备、单价100万元以上专用设备等国有资产本年度与上年度相比无变化。</w:t>
      </w:r>
    </w:p>
    <w:p>
      <w:pPr>
        <w:pStyle w:val="3"/>
        <w:widowControl/>
        <w:spacing w:beforeAutospacing="0" w:afterAutospacing="0" w:line="495" w:lineRule="atLeast"/>
        <w:ind w:firstLine="562" w:firstLineChars="200"/>
        <w:rPr>
          <w:rFonts w:ascii="仿宋" w:hAnsi="仿宋" w:eastAsia="仿宋" w:cs="仿宋"/>
        </w:rPr>
      </w:pPr>
      <w:r>
        <w:rPr>
          <w:rStyle w:val="6"/>
          <w:rFonts w:hint="eastAsia" w:ascii="仿宋" w:hAnsi="仿宋" w:eastAsia="仿宋" w:cs="仿宋"/>
          <w:sz w:val="28"/>
          <w:szCs w:val="28"/>
          <w:shd w:val="clear" w:color="auto" w:fill="FFFFFF"/>
        </w:rPr>
        <w:t>六、政府性基金预算支出情况说明</w:t>
      </w:r>
    </w:p>
    <w:p>
      <w:pPr>
        <w:pStyle w:val="3"/>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通城县北港镇中心完小2021年政府性基金拨款收入0万元，与上年度持平。</w:t>
      </w:r>
    </w:p>
    <w:p>
      <w:pPr>
        <w:pStyle w:val="3"/>
        <w:widowControl/>
        <w:spacing w:beforeAutospacing="0" w:afterAutospacing="0" w:line="495" w:lineRule="atLeast"/>
        <w:ind w:firstLine="562" w:firstLineChars="200"/>
        <w:rPr>
          <w:rStyle w:val="6"/>
          <w:rFonts w:ascii="仿宋" w:hAnsi="仿宋" w:eastAsia="仿宋" w:cs="仿宋"/>
          <w:sz w:val="28"/>
          <w:szCs w:val="28"/>
          <w:shd w:val="clear" w:color="auto" w:fill="FFFFFF"/>
        </w:rPr>
      </w:pPr>
      <w:r>
        <w:rPr>
          <w:rStyle w:val="6"/>
          <w:rFonts w:hint="eastAsia" w:ascii="仿宋" w:hAnsi="仿宋" w:eastAsia="仿宋" w:cs="仿宋"/>
          <w:sz w:val="28"/>
          <w:szCs w:val="28"/>
          <w:shd w:val="clear" w:color="auto" w:fill="FFFFFF"/>
        </w:rPr>
        <w:t>七、2021年部门预算绩效情况说明</w:t>
      </w:r>
    </w:p>
    <w:p>
      <w:pPr>
        <w:pStyle w:val="3"/>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部门预算绩效开展情况：2021 年本单位项目支出共0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widowControl/>
        <w:spacing w:beforeAutospacing="0" w:afterAutospacing="0" w:line="480" w:lineRule="atLeast"/>
        <w:ind w:firstLine="562" w:firstLineChars="200"/>
        <w:rPr>
          <w:rStyle w:val="6"/>
          <w:rFonts w:ascii="仿宋" w:hAnsi="仿宋" w:eastAsia="仿宋" w:cs="仿宋"/>
          <w:sz w:val="28"/>
          <w:szCs w:val="28"/>
          <w:shd w:val="clear" w:color="auto" w:fill="FFFFFF"/>
        </w:rPr>
      </w:pPr>
      <w:r>
        <w:rPr>
          <w:rStyle w:val="6"/>
          <w:rFonts w:hint="eastAsia" w:ascii="仿宋" w:hAnsi="仿宋" w:eastAsia="仿宋" w:cs="仿宋"/>
          <w:sz w:val="28"/>
          <w:szCs w:val="28"/>
          <w:shd w:val="clear" w:color="auto" w:fill="FFFFFF"/>
        </w:rPr>
        <w:t>1.预算绩效管理工作开展情况</w:t>
      </w:r>
    </w:p>
    <w:p>
      <w:pPr>
        <w:pStyle w:val="3"/>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根据预算绩效管理的要求，一是认真组织开展项目支出绩效评价和部门整体支出绩效评价工作，并充分运用绩效评价结果，调整设置的指标体系和绩效目标，加快建立绩效导向的预算管理制度。二是在预算执行中，依据绩效目标对项目资金运行状况及绩效目标的预期实现程度开展二次绩效监控，确保预算绩效目标的实现。三是在预算编制中，认真梳理项目活动，依据项目活动明确项目绩效目标、量化关键绩效指标，将预算绩效评价结果作为预算安排的依据，提高预算绩效目标申报的及时性与规范性。四是完善绩效报告与公开制度，推动绩效信息公开，自觉接受社会监督。 </w:t>
      </w:r>
    </w:p>
    <w:p>
      <w:pPr>
        <w:pStyle w:val="3"/>
        <w:widowControl/>
        <w:spacing w:beforeAutospacing="0" w:afterAutospacing="0" w:line="480" w:lineRule="atLeast"/>
        <w:ind w:firstLine="562" w:firstLineChars="200"/>
        <w:rPr>
          <w:rFonts w:ascii="仿宋" w:hAnsi="仿宋" w:eastAsia="仿宋" w:cs="仿宋"/>
        </w:rPr>
      </w:pPr>
      <w:r>
        <w:rPr>
          <w:rStyle w:val="6"/>
          <w:rFonts w:hint="eastAsia" w:ascii="仿宋" w:hAnsi="仿宋" w:eastAsia="仿宋" w:cs="仿宋"/>
          <w:sz w:val="28"/>
          <w:szCs w:val="28"/>
          <w:shd w:val="clear" w:color="auto" w:fill="FFFFFF"/>
        </w:rPr>
        <w:t>第三部分 名词解释</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（一）财政拨款收入：指县本级财政当年拨付的资金。</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（二）上级专项补助收入：指除上述“财政拨款收入”等以外的上级财政部门交办任务相应安排的资金。</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（三）上年结余（转）：指上年度结余转入经费。</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（四）基本支出：指为保障机构正常运转、完成日常工作任务而发生的人员支出和公用支出。</w:t>
      </w:r>
    </w:p>
    <w:p>
      <w:pPr>
        <w:pStyle w:val="3"/>
        <w:widowControl/>
        <w:spacing w:beforeAutospacing="0" w:afterAutospacing="0" w:line="495" w:lineRule="atLeast"/>
        <w:ind w:firstLine="560" w:firstLineChars="200"/>
        <w:rPr>
          <w:rFonts w:ascii="仿宋" w:hAnsi="仿宋" w:eastAsia="仿宋" w:cs="仿宋"/>
        </w:rPr>
      </w:pPr>
      <w:r>
        <w:rPr>
          <w:rFonts w:hint="eastAsia" w:ascii="仿宋" w:hAnsi="仿宋" w:eastAsia="仿宋" w:cs="仿宋"/>
          <w:sz w:val="28"/>
          <w:szCs w:val="28"/>
          <w:shd w:val="clear" w:color="auto" w:fill="FFFFFF"/>
        </w:rPr>
        <w:t>（五）项目支出：指在基本支出之外为完成特定行政任务和事业发展目标所发生的支出。</w:t>
      </w:r>
    </w:p>
    <w:p>
      <w:pPr>
        <w:pStyle w:val="3"/>
        <w:widowControl/>
        <w:spacing w:beforeAutospacing="0" w:afterAutospacing="0" w:line="495"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六）“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widowControl/>
        <w:spacing w:beforeAutospacing="0" w:afterAutospacing="0" w:line="450" w:lineRule="atLeast"/>
        <w:ind w:firstLine="562" w:firstLineChars="200"/>
        <w:rPr>
          <w:rStyle w:val="6"/>
          <w:rFonts w:ascii="仿宋" w:hAnsi="仿宋" w:eastAsia="仿宋" w:cs="仿宋"/>
          <w:sz w:val="28"/>
          <w:szCs w:val="28"/>
          <w:shd w:val="clear" w:color="auto" w:fill="FFFFFF"/>
        </w:rPr>
      </w:pPr>
      <w:r>
        <w:rPr>
          <w:rStyle w:val="6"/>
          <w:rFonts w:hint="eastAsia" w:ascii="仿宋" w:hAnsi="仿宋" w:eastAsia="仿宋" w:cs="仿宋"/>
          <w:sz w:val="28"/>
          <w:szCs w:val="28"/>
          <w:shd w:val="clear" w:color="auto" w:fill="FFFFFF"/>
        </w:rPr>
        <w:t>第四部分 2021年部门预算表（另附）</w:t>
      </w:r>
    </w:p>
    <w:p>
      <w:pPr>
        <w:ind w:firstLine="420" w:firstLineChars="200"/>
        <w:jc w:val="left"/>
        <w:rPr>
          <w:rFonts w:ascii="仿宋" w:hAnsi="仿宋" w:eastAsia="仿宋" w:cs="仿宋"/>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14B"/>
    <w:rsid w:val="00057987"/>
    <w:rsid w:val="001A02C3"/>
    <w:rsid w:val="002B7C3F"/>
    <w:rsid w:val="00322855"/>
    <w:rsid w:val="00354C47"/>
    <w:rsid w:val="004667A9"/>
    <w:rsid w:val="005D1312"/>
    <w:rsid w:val="007A714B"/>
    <w:rsid w:val="0088732B"/>
    <w:rsid w:val="00965333"/>
    <w:rsid w:val="0098444D"/>
    <w:rsid w:val="00A83356"/>
    <w:rsid w:val="00EF5289"/>
    <w:rsid w:val="00F52067"/>
    <w:rsid w:val="00FE3714"/>
    <w:rsid w:val="00FF0C85"/>
    <w:rsid w:val="017C639A"/>
    <w:rsid w:val="06C51EAD"/>
    <w:rsid w:val="07AD78CC"/>
    <w:rsid w:val="085B2B04"/>
    <w:rsid w:val="0C4603D9"/>
    <w:rsid w:val="0E2844BE"/>
    <w:rsid w:val="0FF056DF"/>
    <w:rsid w:val="2781324E"/>
    <w:rsid w:val="2AE1247B"/>
    <w:rsid w:val="2DB424AB"/>
    <w:rsid w:val="31DA728A"/>
    <w:rsid w:val="343555FF"/>
    <w:rsid w:val="34970D5F"/>
    <w:rsid w:val="362F706B"/>
    <w:rsid w:val="36903A6B"/>
    <w:rsid w:val="39BA1340"/>
    <w:rsid w:val="3C4F04EB"/>
    <w:rsid w:val="3C517AAC"/>
    <w:rsid w:val="3D76573A"/>
    <w:rsid w:val="3E2027AA"/>
    <w:rsid w:val="3F0E76F3"/>
    <w:rsid w:val="452533C6"/>
    <w:rsid w:val="45357447"/>
    <w:rsid w:val="4687533E"/>
    <w:rsid w:val="47E13E90"/>
    <w:rsid w:val="48FA5143"/>
    <w:rsid w:val="4943113C"/>
    <w:rsid w:val="4E436F75"/>
    <w:rsid w:val="4EE63965"/>
    <w:rsid w:val="555D0D45"/>
    <w:rsid w:val="580223CA"/>
    <w:rsid w:val="584B20D0"/>
    <w:rsid w:val="5B7274A3"/>
    <w:rsid w:val="5C39644A"/>
    <w:rsid w:val="5E6A41B3"/>
    <w:rsid w:val="664C185E"/>
    <w:rsid w:val="7386620E"/>
    <w:rsid w:val="74AC4EF4"/>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customStyle="1" w:styleId="7">
    <w:name w:val="font51"/>
    <w:basedOn w:val="5"/>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481</Words>
  <Characters>2742</Characters>
  <Lines>22</Lines>
  <Paragraphs>6</Paragraphs>
  <TotalTime>39</TotalTime>
  <ScaleCrop>false</ScaleCrop>
  <LinksUpToDate>false</LinksUpToDate>
  <CharactersWithSpaces>3217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那就再来一次丶</cp:lastModifiedBy>
  <dcterms:modified xsi:type="dcterms:W3CDTF">2022-09-05T07:41:05Z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6A0646A7B17B4031BED9E51D474D407F</vt:lpwstr>
  </property>
</Properties>
</file>