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石南镇花亭小学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石南镇花亭小学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通城县石南镇花亭小学2021年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b w:val="0"/>
          <w:bCs w:val="0"/>
          <w:i w:val="0"/>
          <w:caps w:val="0"/>
          <w:color w:val="auto"/>
          <w:spacing w:val="0"/>
          <w:sz w:val="28"/>
          <w:szCs w:val="28"/>
          <w:shd w:val="clear" w:fill="FFFFFF"/>
          <w:lang w:val="en-US" w:eastAsia="zh-CN"/>
        </w:rPr>
        <w:t>210.5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6.26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2.89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182.5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6.26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3.32</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通城县石南镇花亭小学2021年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b w:val="0"/>
          <w:bCs w:val="0"/>
          <w:i w:val="0"/>
          <w:caps w:val="0"/>
          <w:color w:val="auto"/>
          <w:spacing w:val="0"/>
          <w:sz w:val="28"/>
          <w:szCs w:val="28"/>
          <w:shd w:val="clear" w:fill="FFFFFF"/>
          <w:lang w:val="en-US" w:eastAsia="zh-CN"/>
        </w:rPr>
        <w:t>210.5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6.26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2.89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182.5</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通城县石南镇花亭小学2021年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通城县石南镇花亭小学2021年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13.7</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2万元、邮电费0.2万元、物业管理费0万元、差旅费0.2万元、维修（护）费1.3万元、租赁费0万元、会议费1万元、培训费0.7万元、公务接待费0.2万元、专用材料费0万元、劳务费1万元、委托业务费0万元、工会经费3万元、其他交通费用0.2万元、税金及附加费用0万元、其他商品和服务支出0万元，占预算总额的6.5%，比上年减少7.2万元,减少34.4%。减少原因：主要是第三方服务费用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通城县石南镇花亭小学2021年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50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50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通城县石南镇花亭小学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5.2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4.7</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10.3</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通城县石南镇花亭小学2021年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TI3ODQ5ZTg1NjQ2ODE3MGU2YzZhMmYwNjY5YTMifQ=="/>
  </w:docVars>
  <w:rsids>
    <w:rsidRoot w:val="00000000"/>
    <w:rsid w:val="00057987"/>
    <w:rsid w:val="017C639A"/>
    <w:rsid w:val="03B70ABB"/>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24502BB"/>
    <w:rsid w:val="664C185E"/>
    <w:rsid w:val="7386620E"/>
    <w:rsid w:val="7461531C"/>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2923</Words>
  <Characters>3087</Characters>
  <Lines>0</Lines>
  <Paragraphs>0</Paragraphs>
  <TotalTime>15</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2022-09-06T00:40:33Z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D6D5A0981BFE4C94BCE066E5B646FAC0</vt:lpwstr>
  </property>
</Properties>
</file>