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p>
    <w:p>
      <w:pPr>
        <w:pStyle w:val="5"/>
        <w:widowControl/>
        <w:spacing w:beforeAutospacing="0" w:afterAutospacing="0" w:line="495" w:lineRule="atLeast"/>
        <w:jc w:val="center"/>
        <w:rPr>
          <w:rFonts w:ascii="仿宋" w:hAnsi="仿宋" w:eastAsia="仿宋" w:cs="仿宋"/>
          <w:b/>
          <w:bCs/>
          <w:sz w:val="32"/>
          <w:szCs w:val="32"/>
        </w:rPr>
      </w:pPr>
      <w:r>
        <w:rPr>
          <w:rFonts w:hint="eastAsia" w:ascii="仿宋" w:hAnsi="仿宋" w:eastAsia="仿宋" w:cs="仿宋"/>
          <w:b/>
          <w:bCs/>
          <w:sz w:val="32"/>
          <w:szCs w:val="32"/>
          <w:shd w:val="clear" w:color="auto" w:fill="FFFFFF"/>
        </w:rPr>
        <w:t>【通城县沙堆中心完小】2021年部门预算公开</w:t>
      </w: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5"/>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目  录</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第一部分 单位概况</w:t>
      </w: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一、主要职能</w:t>
      </w: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二、机构设置</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三、年度主要工作任务及目标</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第二部分 2021年部门预算编制情况及说明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一、预算收支安排及增减变化情况说明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二、机关运行经费安排及增减变化情况说明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三、“三公”经费安排及增减变化情况说明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四、政府采购预算安排及增减变化情况说明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五、国有资产占用及增减变化情况说明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六、政府性基金预算支出情况说明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七、2021年部门预算绩效情况说明</w:t>
      </w:r>
    </w:p>
    <w:p>
      <w:pPr>
        <w:pStyle w:val="5"/>
        <w:widowControl/>
        <w:spacing w:beforeAutospacing="0" w:afterAutospacing="0" w:line="495"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第三部分 名词解释</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第四部分 2021年部门预算表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一、部门收支总表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二、部门收入总表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三、部门支出总表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四、财政拨款收支总表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五、一般公共预算支出表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六、一般公共预算基本支出表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七、一般公共预算“三公”经费支出表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八、政府性基金预算支出表</w:t>
      </w:r>
    </w:p>
    <w:p>
      <w:pPr>
        <w:pStyle w:val="5"/>
        <w:widowControl/>
        <w:spacing w:beforeAutospacing="0" w:afterAutospacing="0" w:line="495" w:lineRule="atLeast"/>
        <w:ind w:firstLine="562" w:firstLineChars="200"/>
        <w:rPr>
          <w:rStyle w:val="8"/>
          <w:rFonts w:ascii="仿宋" w:hAnsi="仿宋" w:eastAsia="仿宋" w:cs="仿宋"/>
          <w:sz w:val="28"/>
          <w:szCs w:val="28"/>
          <w:shd w:val="clear" w:color="auto" w:fill="FFFFFF"/>
        </w:rPr>
      </w:pP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5"/>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第一部分 单位概况</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一、主要职能</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pStyle w:val="5"/>
        <w:widowControl/>
        <w:spacing w:beforeAutospacing="0" w:afterAutospacing="0" w:line="480"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二、机构设置</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从预算单位构成看，通城县沙堆中心完小部门预算包括：</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（一）办公室</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（二）教导处</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（三）财务处</w:t>
      </w:r>
    </w:p>
    <w:p>
      <w:pPr>
        <w:pStyle w:val="5"/>
        <w:widowControl/>
        <w:spacing w:beforeAutospacing="0" w:afterAutospacing="0" w:line="480" w:lineRule="atLeast"/>
        <w:ind w:firstLine="562" w:firstLineChars="200"/>
        <w:rPr>
          <w:rStyle w:val="8"/>
          <w:rFonts w:ascii="仿宋" w:hAnsi="仿宋" w:eastAsia="仿宋" w:cs="仿宋"/>
          <w:sz w:val="28"/>
          <w:szCs w:val="28"/>
          <w:shd w:val="clear" w:color="auto" w:fill="FFFFFF"/>
        </w:rPr>
      </w:pPr>
      <w:bookmarkStart w:id="0" w:name="_GoBack"/>
      <w:bookmarkEnd w:id="0"/>
      <w:r>
        <w:rPr>
          <w:rStyle w:val="8"/>
          <w:rFonts w:hint="eastAsia" w:ascii="仿宋" w:hAnsi="仿宋" w:eastAsia="仿宋" w:cs="仿宋"/>
          <w:sz w:val="28"/>
          <w:szCs w:val="28"/>
          <w:shd w:val="clear" w:color="auto" w:fill="FFFFFF"/>
        </w:rPr>
        <w:t>三、年度主要工作任务及目标</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3. 加大教育改革力度。加强教学教研改革。深化教师管理制度改革，稳步实施“县管校聘”改革。坚持教育去行政化。                                       </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4、夯实教师队伍根基。注重教师师德师风建设，提升教师专业素质能力，统筹优化教师资源配置，注重青年教师管理培养。优先完善教师保障机制，努力提升教师的职业幸福感、获得感。</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5、营造教育良好生态。办好人民满意教育。统筹各类教育发展。</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第二部分 2021年部门预算编制情况及说明</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一、预算收支安排及增减变化情况说明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通城县沙堆中心完小2021年收入预算总额为 696.70  万元，比上年增长21.85%，其中：一般公共预算财政拨款收入596.70万元，比上年增长68.65万元，增长11.5%；政府性基金拨款收入0万元，上年度为0；社保基金拨款收入0万元，比上年增加0万元，增长0%。上年结转0万元，本年度结转为0。总规模减少的主要原因：根据要求压缩了项目支出数,教育十大工程建设支出减少，教育化债项目已完成。</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中心完小2021年支出预算总额696.70万元，比上年增长21.85%，其中：基本保障支出596.70万元；项目支出0万元；项目支出不可预见0万元。下降主要原因：根据要求压缩了项目支出数,教育十大工程建设支出减少，教育化债项目已完成。</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通城县沙堆中心完小2021年政府性基金预算支出为0万元。与上年持平。</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二、学校运行经费安排及增减变化情况说明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中心完小2021年运行经费（公用经费）预算84.61万元。其中：办公费31.4万元、印刷费0.82万元、手续费0万元、水费0万元、电费8.18万元、邮电费2.04万元、物业管理费0万元、差旅费2.04万元、维修（护）费10.22万元、租赁费0万元、会议费0.82万元、培训费4.09万元、公务接待费1.64万元、专用材料费0万元、劳务费1.64万元、委托业务费0万元、工会经费19.93万元、其他交通费用1.38万元、税金及附加费用0万元、其他商品和服务支出0.41万元，占预算总额的0.07%，比上年增加0.02万元,增长4.9%。增长原因：主要是第三方服务费用增加。其他商品和服务支出5.88万元。共占预算总额的0.10%，比上年减少0.3万元,下降5.10%。下降原因：根据要求压缩了开支。</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三、“三公”经费安排及增减变化情况说明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通城县沙堆中心完小2021年“三公”经费预算0.6万元，占预算总额的0.1%，比上年减少0.2万元,下降33.3%。下降原因：认真贯彻落实中央、省、市、县关于厉行节约的各项要求，进一步从严控制“三公经费”。</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1、因公出国（境）费用0万元，与上年度持平；</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2、公务用车购置和运行费0万元，其中：公务用车运行维护费0万元，公务用车购置费0万元。与上年度持平；</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3、公务接待费0.6万元。比上年减少0.2万元,下降33.3%。下降原因：认真贯彻落实中央、省、市、县关于厉行节约的各项要求，进一步从严控制“三公经费”。</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四、政府采购预算安排及增减变化情况说明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沙堆中心完小严格按照《中华人民共和国政府采购法》《通城县政府集中采购目录及标准》有关规定，切实做到“应编尽编，应采尽采”。2021年，我单位政府采购预算11万元，其中货物类采购预算9万元，工程类采购预算1万元，服务类采购预算1万元。比上年减少2万元,下降18.2%。下降原因：主要是压缩了行政支出，减少了办公设备购置。</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五、国有资产占用及增减变化情况说明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截至2020年12月31日，本部门保有车辆共有0辆，其中，领导干部用车0辆，一般公务用车0辆、特种专业技术用车0辆，其他用车0辆，其他用车主要是机要通信用车0台，应急公务用车0台，离退休干部服务用车0台；单位价值50万元以上通用设备0台（套）。单价100万元以上专用设备0套。应急公务用车、价值50万元以上通用设备、单价100万元以上专用设备等国有资产本年度与上年度相比无变化。</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六、政府性基金预算支出情况说明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通城县沙堆中心完小2021年政府性基金拨款收入0万元，与上年度持平。</w:t>
      </w:r>
    </w:p>
    <w:p>
      <w:pPr>
        <w:pStyle w:val="5"/>
        <w:widowControl/>
        <w:spacing w:beforeAutospacing="0" w:afterAutospacing="0" w:line="495"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七、2021年部门预算绩效情况说明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部门预算绩效开展情况：2021 年本单位项目支出共0万元，各项目均按照预算绩效管理工作的要求，开展绩效目标编制及评审、绩效监控、绩效评价等工作，并关注项目目标与预算内容、工作计划的一致性，形成科学合理、规范完整且可量化、可评价的指标体系。</w:t>
      </w:r>
    </w:p>
    <w:p>
      <w:pPr>
        <w:pStyle w:val="5"/>
        <w:widowControl/>
        <w:spacing w:beforeAutospacing="0" w:afterAutospacing="0" w:line="480"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1.预算绩效管理工作开展情况</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根据预算绩效管理的要求，一是认真组织开展项目支出绩效评价和部门整体支出绩效评价工作，并充分运用绩效评价结果，调整设置的指标体系和绩效目标，加快建立绩效导向的预算管理制度。二是在预算执行中，依据绩效目标对项目资金运行状况及绩效目标的预期实现程度开展二次绩效监控，确保预算绩效目标的实现。三是在预算编制中，认真梳理项目活动，依据项目活动明确项目绩效目标、量化关键绩效指标，将预算绩效评价结果作为预算安排的依据，提高预算绩效目标申报的及时性与规范性。四是完善绩效报告与公开制度，推动绩效信息公开，自觉接受社会监督。 </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第三部分 名词解释</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（一）财政拨款收入：指县本级财政当年拨付的资金。</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（二）上级专项补助收入：指除上述“财政拨款收入”等以外的上级财政部门交办任务相应安排的资金。</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（三）上年结余（转）：指上年度结余转入经费。</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（四）基本支出：指为保障机构正常运转、完成日常工作任务而发生的人员支出和公用支出。</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（五）项目支出：指在基本支出之外为完成特定行政任务和事业发展目标所发生的支出。</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5"/>
        <w:widowControl/>
        <w:spacing w:beforeAutospacing="0" w:afterAutospacing="0" w:line="450"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第四部分 2021年部门预算表（另附）</w:t>
      </w:r>
    </w:p>
    <w:p>
      <w:pPr>
        <w:ind w:firstLine="420" w:firstLineChars="200"/>
        <w:jc w:val="left"/>
        <w:rPr>
          <w:rFonts w:ascii="仿宋" w:hAnsi="仿宋" w:eastAsia="仿宋" w:cs="仿宋"/>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cwYzhiMmU4MmJiYjY3NWM1YjgxMDlmN2UzNmI4MzEifQ=="/>
  </w:docVars>
  <w:rsids>
    <w:rsidRoot w:val="00BE1B0C"/>
    <w:rsid w:val="00057987"/>
    <w:rsid w:val="00100E4B"/>
    <w:rsid w:val="00BB4756"/>
    <w:rsid w:val="00BE1B0C"/>
    <w:rsid w:val="017C639A"/>
    <w:rsid w:val="06C51EAD"/>
    <w:rsid w:val="07AD78CC"/>
    <w:rsid w:val="085B2B04"/>
    <w:rsid w:val="0C4603D9"/>
    <w:rsid w:val="0E2844BE"/>
    <w:rsid w:val="2781324E"/>
    <w:rsid w:val="2AE1247B"/>
    <w:rsid w:val="2DB424AB"/>
    <w:rsid w:val="31DA728A"/>
    <w:rsid w:val="343555FF"/>
    <w:rsid w:val="34970D5F"/>
    <w:rsid w:val="351C291D"/>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5F767FD"/>
    <w:rsid w:val="664C185E"/>
    <w:rsid w:val="7386620E"/>
    <w:rsid w:val="74AC4EF4"/>
    <w:rsid w:val="7BF21D7B"/>
    <w:rsid w:val="7D630A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font51"/>
    <w:basedOn w:val="7"/>
    <w:uiPriority w:val="0"/>
    <w:rPr>
      <w:rFonts w:hint="eastAsia" w:ascii="仿宋_GB2312" w:eastAsia="仿宋_GB2312" w:cs="仿宋_GB2312"/>
      <w:color w:val="auto"/>
      <w:sz w:val="22"/>
      <w:szCs w:val="22"/>
      <w:u w:val="none"/>
    </w:rPr>
  </w:style>
  <w:style w:type="character" w:customStyle="1" w:styleId="10">
    <w:name w:val="font61"/>
    <w:basedOn w:val="7"/>
    <w:qFormat/>
    <w:uiPriority w:val="0"/>
    <w:rPr>
      <w:rFonts w:hint="eastAsia" w:ascii="仿宋_GB2312" w:eastAsia="仿宋_GB2312" w:cs="仿宋_GB2312"/>
      <w:color w:val="auto"/>
      <w:sz w:val="24"/>
      <w:szCs w:val="24"/>
      <w:u w:val="none"/>
    </w:rPr>
  </w:style>
  <w:style w:type="character" w:customStyle="1" w:styleId="11">
    <w:name w:val="页眉 Char"/>
    <w:basedOn w:val="7"/>
    <w:link w:val="4"/>
    <w:uiPriority w:val="0"/>
    <w:rPr>
      <w:rFonts w:asciiTheme="minorHAnsi" w:hAnsiTheme="minorHAnsi" w:eastAsiaTheme="minorEastAsia" w:cstheme="minorBidi"/>
      <w:kern w:val="2"/>
      <w:sz w:val="18"/>
      <w:szCs w:val="18"/>
    </w:rPr>
  </w:style>
  <w:style w:type="character" w:customStyle="1" w:styleId="12">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488</Words>
  <Characters>2783</Characters>
  <Lines>23</Lines>
  <Paragraphs>6</Paragraphs>
  <TotalTime>29</TotalTime>
  <ScaleCrop>false</ScaleCrop>
  <LinksUpToDate>false</LinksUpToDate>
  <CharactersWithSpaces>3265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2022-09-06T00:36:49Z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