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四庄乡华家小学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四庄乡华家小学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112.4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12.7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108.2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112.4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12.7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108.2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6.5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0.1万元、电费0.8万元、邮电费0.5万元、物业管理费0万元、差旅费0.1万元、维修（护）费0万元、租赁费0万元、会议费0万元、培训费0.2万元、公务接待费0万元、专用材料费0万元、劳务费0.45万元、委托业务费0万元、工会经费1.1万元、其他交通费用0万元、税金及附加费用0万元、其他商品和服务支出1.05万元，占预算总额的5.8%，比上年增加0.35万元,增长5.7%。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9.8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减少0.65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通城县四庄乡华家小学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0.24</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通城县四庄乡华家小学2021年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22B111F"/>
    <w:rsid w:val="452533C6"/>
    <w:rsid w:val="45357447"/>
    <w:rsid w:val="4687533E"/>
    <w:rsid w:val="47E13E90"/>
    <w:rsid w:val="48FA5143"/>
    <w:rsid w:val="4943113C"/>
    <w:rsid w:val="4E436F75"/>
    <w:rsid w:val="4EE63965"/>
    <w:rsid w:val="555D0D45"/>
    <w:rsid w:val="5752274C"/>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11</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