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麦市中学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w:t>
      </w:r>
      <w:r>
        <w:rPr>
          <w:rFonts w:hint="eastAsia" w:ascii="仿宋" w:hAnsi="仿宋" w:eastAsia="仿宋" w:cs="仿宋"/>
          <w:i w:val="0"/>
          <w:caps w:val="0"/>
          <w:color w:val="auto"/>
          <w:spacing w:val="0"/>
          <w:sz w:val="28"/>
          <w:szCs w:val="28"/>
          <w:shd w:val="clear" w:fill="FFFFFF"/>
          <w:lang w:val="en-US" w:eastAsia="zh-CN"/>
        </w:rPr>
        <w:t>麦市中学</w:t>
      </w:r>
      <w:bookmarkStart w:id="0" w:name="_GoBack"/>
      <w:bookmarkEnd w:id="0"/>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通城县麦市中学2021年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797.2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增加40.1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617.2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增长0.03</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食堂经营收入增加。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通城县麦市中学2021年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797.2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40.1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797.2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食堂经营收入增加。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通城县麦市中学2021年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通城县麦市中学2021年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74.1</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0.2万元、水费1.4万元、电费4.93万元、邮电费1.5万元、物业管理费0.5万元、差旅费2.5万元、维修（护）费8.5万元、租赁费2万元、会议费0.4万元、培训费0.18万元、公务接待费0.3万元、专用材料费1.5万元、劳务费3.6万元、委托业务费0.3万元、工会经费7万元、其他交通费用0.25万元、税金及附加费用0.2万元、其他商品和服务支出7万元，占预算总额的9%，比上年增加3.2万元,增长4%。增长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0.03</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减少0.7</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减少0.7</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DEE2B59"/>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02C5ACA"/>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3021</Words>
  <Characters>3084</Characters>
  <Lines>0</Lines>
  <Paragraphs>0</Paragraphs>
  <TotalTime>1</TotalTime>
  <ScaleCrop>false</ScaleCrop>
  <LinksUpToDate>false</LinksUpToDate>
  <CharactersWithSpaces>3143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