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大坪乡杨部学校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大坪乡杨部学校</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大坪乡杨部</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357.71万元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增加27.95万元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增加27.95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293.66</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64.05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27.95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27.95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357.71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61.77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20.87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293.66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64.05</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286.35万元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42.26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293.66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59.72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25.53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243.21万元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3.09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33.4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13.97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325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部分接待未纳入预算</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比年初预算数增加0.65万元，增长325%，增加主要原因：部分接待费用为纳入预算。</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47.36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9.75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1.75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3.96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5.01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64.05</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大坪乡杨部</w:t>
      </w:r>
      <w:r>
        <w:rPr>
          <w:rFonts w:hint="eastAsia" w:ascii="仿宋" w:hAnsi="仿宋" w:eastAsia="仿宋" w:cs="仿宋"/>
          <w:b/>
          <w:bCs/>
          <w:color w:val="auto"/>
          <w:sz w:val="28"/>
          <w:szCs w:val="28"/>
          <w:lang w:eastAsia="zh-CN"/>
        </w:rPr>
        <w:t>学校2021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Dg1NTUwYjc2MTNiMjg2YzUwNjkyYTRiMDNmOT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452C4"/>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D264FBA"/>
    <w:rsid w:val="12722411"/>
    <w:rsid w:val="14CC488E"/>
    <w:rsid w:val="15AB6832"/>
    <w:rsid w:val="1988284D"/>
    <w:rsid w:val="1BDB3886"/>
    <w:rsid w:val="1DF83229"/>
    <w:rsid w:val="203B6D5E"/>
    <w:rsid w:val="221D4684"/>
    <w:rsid w:val="240C4C9B"/>
    <w:rsid w:val="245B6282"/>
    <w:rsid w:val="252533C6"/>
    <w:rsid w:val="27083457"/>
    <w:rsid w:val="2E08741A"/>
    <w:rsid w:val="393323A7"/>
    <w:rsid w:val="3CE4661E"/>
    <w:rsid w:val="3E94641E"/>
    <w:rsid w:val="439E2F02"/>
    <w:rsid w:val="450D5E90"/>
    <w:rsid w:val="46930B4F"/>
    <w:rsid w:val="4795374B"/>
    <w:rsid w:val="48B04304"/>
    <w:rsid w:val="493D7C60"/>
    <w:rsid w:val="498D4584"/>
    <w:rsid w:val="4C9B2F61"/>
    <w:rsid w:val="4D1465D5"/>
    <w:rsid w:val="4ED90CE3"/>
    <w:rsid w:val="543A313C"/>
    <w:rsid w:val="56666EE2"/>
    <w:rsid w:val="56E74241"/>
    <w:rsid w:val="59B93C0A"/>
    <w:rsid w:val="5A0F20D7"/>
    <w:rsid w:val="5A5A1F55"/>
    <w:rsid w:val="5D34570A"/>
    <w:rsid w:val="63C34202"/>
    <w:rsid w:val="63DE052E"/>
    <w:rsid w:val="644B3A0A"/>
    <w:rsid w:val="65030D78"/>
    <w:rsid w:val="65190674"/>
    <w:rsid w:val="67894922"/>
    <w:rsid w:val="67B7762A"/>
    <w:rsid w:val="67D610E5"/>
    <w:rsid w:val="681F1ADC"/>
    <w:rsid w:val="682D17E6"/>
    <w:rsid w:val="6C372565"/>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3767</Words>
  <Characters>4046</Characters>
  <Lines>3</Lines>
  <Paragraphs>8</Paragraphs>
  <TotalTime>0</TotalTime>
  <ScaleCrop>false</ScaleCrop>
  <LinksUpToDate>false</LinksUpToDate>
  <CharactersWithSpaces>4118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2022-09-21T07:56:28Z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