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color w:val="000000" w:themeColor="text1"/>
        </w:rPr>
      </w:pPr>
    </w:p>
    <w:p>
      <w:pPr>
        <w:spacing w:line="440" w:lineRule="exact"/>
        <w:jc w:val="center"/>
        <w:rPr>
          <w:rFonts w:ascii="新宋体" w:hAnsi="新宋体" w:eastAsia="新宋体" w:cs="新宋体"/>
          <w:color w:val="000000" w:themeColor="text1"/>
          <w:sz w:val="32"/>
          <w:szCs w:val="32"/>
        </w:rPr>
      </w:pPr>
      <w:r>
        <w:rPr>
          <w:rFonts w:hint="eastAsia" w:ascii="新宋体" w:hAnsi="新宋体" w:eastAsia="新宋体" w:cs="新宋体"/>
          <w:color w:val="000000" w:themeColor="text1"/>
          <w:sz w:val="32"/>
          <w:szCs w:val="32"/>
        </w:rPr>
        <w:t>通城县沙堆镇大柱完小2021年部门决算公开</w:t>
      </w:r>
    </w:p>
    <w:p>
      <w:pPr>
        <w:spacing w:line="440" w:lineRule="exact"/>
        <w:ind w:firstLine="440" w:firstLineChars="200"/>
        <w:rPr>
          <w:rFonts w:ascii="新宋体" w:hAnsi="新宋体" w:eastAsia="新宋体" w:cs="新宋体"/>
          <w:color w:val="000000" w:themeColor="text1"/>
        </w:rPr>
      </w:pPr>
    </w:p>
    <w:p>
      <w:pPr>
        <w:ind w:firstLine="640" w:firstLineChars="200"/>
        <w:jc w:val="center"/>
        <w:rPr>
          <w:rFonts w:ascii="新宋体" w:hAnsi="新宋体" w:eastAsia="新宋体" w:cs="新宋体"/>
          <w:color w:val="000000" w:themeColor="text1"/>
          <w:sz w:val="32"/>
          <w:szCs w:val="32"/>
        </w:rPr>
      </w:pPr>
      <w:r>
        <w:rPr>
          <w:rFonts w:hint="eastAsia" w:ascii="新宋体" w:hAnsi="新宋体" w:eastAsia="新宋体" w:cs="新宋体"/>
          <w:color w:val="000000" w:themeColor="text1"/>
          <w:sz w:val="32"/>
          <w:szCs w:val="32"/>
        </w:rPr>
        <w:t>目　录</w:t>
      </w:r>
    </w:p>
    <w:p>
      <w:pPr>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第一部分 通城县沙堆镇大柱完小概况</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一、主要职能</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二、机构设置情况</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三、人员构成情况</w:t>
      </w:r>
    </w:p>
    <w:p>
      <w:pPr>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第二部分 通城县沙堆镇大柱完小2021年部门决算情况说明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一、收入支出决算情况说明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二、收入决算情况说明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四、财政拨款收入支出决算总体情况说明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五、一般公共预算财政拨款支出决算情况说明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六、一般公共预算财政拨款基本支出决算情况说明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七、一般公共预算财政拨款“三公”经费支出决算情况说明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八、政府性基金预算财政拨款收入支出决算情况说明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九、国有资本经营预算财政拨款支出决算情况说明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十、机关运行经费支出情况</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十一、政府采购支出情况</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十二、国有资产占用情况</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十三、预算绩效管理工作开展情况</w:t>
      </w:r>
    </w:p>
    <w:p>
      <w:pPr>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第三部分 名词解释</w:t>
      </w:r>
    </w:p>
    <w:p>
      <w:pP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　　第四部分 通城县沙堆镇大柱完小2021年部门决算表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一、收入支出决算总表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二、收入决算表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三、支出决算表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四、财政拨款收入支出决算总表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五、一般公共预算财政拨款支出决算表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六、一般公共预算财政拨款基本支出决算表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七、财政拨款“三公”经费支出决算表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八、政府性基金预算财政拨款收入支出决算表</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九、国有资本经营预预算财政拨款支出决算表</w:t>
      </w:r>
      <w:r>
        <w:rPr>
          <w:rFonts w:hint="eastAsia" w:ascii="仿宋" w:hAnsi="仿宋" w:eastAsia="仿宋" w:cs="仿宋"/>
          <w:color w:val="000000" w:themeColor="text1"/>
          <w:sz w:val="28"/>
          <w:szCs w:val="28"/>
        </w:rPr>
        <w:br w:type="textWrapping"/>
      </w: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spacing w:line="360" w:lineRule="auto"/>
        <w:ind w:firstLine="562" w:firstLineChars="200"/>
        <w:jc w:val="center"/>
        <w:rPr>
          <w:rFonts w:ascii="仿宋" w:hAnsi="仿宋" w:eastAsia="仿宋" w:cs="仿宋"/>
          <w:b/>
          <w:bCs/>
          <w:color w:val="000000" w:themeColor="text1"/>
          <w:sz w:val="28"/>
          <w:szCs w:val="28"/>
        </w:rPr>
      </w:pPr>
    </w:p>
    <w:p>
      <w:pPr>
        <w:ind w:firstLine="562" w:firstLineChars="200"/>
        <w:jc w:val="center"/>
        <w:rPr>
          <w:rFonts w:ascii="仿宋" w:hAnsi="仿宋" w:eastAsia="仿宋" w:cs="仿宋"/>
          <w:b/>
          <w:bCs/>
          <w:color w:val="000000" w:themeColor="text1"/>
          <w:sz w:val="28"/>
          <w:szCs w:val="28"/>
        </w:rPr>
      </w:pPr>
    </w:p>
    <w:p>
      <w:pPr>
        <w:ind w:firstLine="562" w:firstLineChars="200"/>
        <w:jc w:val="center"/>
        <w:rPr>
          <w:rFonts w:ascii="仿宋" w:hAnsi="仿宋" w:eastAsia="仿宋" w:cs="仿宋"/>
          <w:b/>
          <w:bCs/>
          <w:color w:val="000000" w:themeColor="text1"/>
          <w:sz w:val="28"/>
          <w:szCs w:val="28"/>
        </w:rPr>
      </w:pPr>
    </w:p>
    <w:p>
      <w:pPr>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第一部分  通城县沙堆镇大柱完小概况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（六）承办上级交办的其他工作。</w:t>
      </w:r>
    </w:p>
    <w:p>
      <w:pPr>
        <w:ind w:firstLine="560" w:firstLineChars="200"/>
        <w:rPr>
          <w:rFonts w:hint="eastAsia" w:ascii="仿宋" w:hAnsi="仿宋" w:eastAsia="仿宋" w:cs="仿宋"/>
          <w:color w:val="000000" w:themeColor="text1"/>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000000" w:themeColor="text1"/>
          <w:sz w:val="28"/>
          <w:szCs w:val="28"/>
        </w:rPr>
        <w:t>沙堆镇大柱完小</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000000" w:themeColor="text1"/>
          <w:sz w:val="28"/>
          <w:szCs w:val="28"/>
        </w:rPr>
        <w:t>沙堆镇大柱完小</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仿宋" w:hAnsi="仿宋" w:eastAsia="仿宋" w:cs="仿宋"/>
          <w:i w:val="0"/>
          <w:caps w:val="0"/>
          <w:color w:val="auto"/>
          <w:spacing w:val="0"/>
          <w:sz w:val="28"/>
          <w:szCs w:val="28"/>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ind w:firstLine="440"/>
        <w:rPr>
          <w:rFonts w:ascii="仿宋" w:hAnsi="仿宋" w:eastAsia="仿宋" w:cs="仿宋"/>
          <w:color w:val="000000" w:themeColor="text1"/>
          <w:sz w:val="28"/>
          <w:szCs w:val="28"/>
        </w:rPr>
      </w:pPr>
    </w:p>
    <w:p>
      <w:pPr>
        <w:ind w:firstLine="562" w:firstLineChars="200"/>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第二部分  通城县沙堆镇大柱完小2021年部门决算情况说明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一、收入支出决算情况说明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通城县沙堆镇大柱完小2021年收入决算数268.93万元、支出决算数268.93万元，与上年相比，收入减少1.5万元、减幅0.1%，支出减少1.5万元，减幅0.1%。主要原因是:人员调动，经费减少。</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二、收入决算情况说明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通城县沙堆镇大柱完小2021年收入决算268.93万元，其中：财政拨款收入268.93万元，占比100%。</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通城县沙堆镇大柱完小2021年支出决算268.93万元，其中：基本支出268.93万元，占支出总额的100%；项目支出0万元，占支出总额的0%。</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四、2021年财政拨款收入支出决算总体情况说明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通城县沙堆镇大柱完小2021年财政拨款收入决算数268.93万元、支出决算数268.93万元。与上年相比，财政拨款收入减少1.5万元，减幅0.1%。支出减少1.5万元，减幅1.5%。</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五、一般公共预算财政拨款支出决算情况说明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通城县沙堆镇大柱完小2021年财政拨款支出268.93万元，比年初预算数减少1.5万元，降低0.1%，</w:t>
      </w:r>
      <w:r>
        <w:rPr>
          <w:rFonts w:hint="eastAsia" w:ascii="仿宋" w:hAnsi="仿宋" w:eastAsia="仿宋" w:cs="仿宋"/>
          <w:color w:val="000000" w:themeColor="text1"/>
          <w:sz w:val="28"/>
          <w:szCs w:val="28"/>
          <w:lang w:val="en-US" w:eastAsia="zh-CN"/>
        </w:rPr>
        <w:t>减少</w:t>
      </w:r>
      <w:r>
        <w:rPr>
          <w:rFonts w:hint="eastAsia" w:ascii="仿宋" w:hAnsi="仿宋" w:eastAsia="仿宋" w:cs="仿宋"/>
          <w:color w:val="000000" w:themeColor="text1"/>
          <w:sz w:val="28"/>
          <w:szCs w:val="28"/>
        </w:rPr>
        <w:t>的主要原因：</w:t>
      </w:r>
      <w:r>
        <w:rPr>
          <w:rFonts w:hint="eastAsia" w:ascii="仿宋" w:hAnsi="仿宋" w:eastAsia="仿宋" w:cs="仿宋"/>
          <w:color w:val="000000" w:themeColor="text1"/>
          <w:sz w:val="28"/>
          <w:szCs w:val="28"/>
          <w:lang w:val="en-US" w:eastAsia="zh-CN"/>
        </w:rPr>
        <w:t>按要求</w:t>
      </w:r>
      <w:r>
        <w:rPr>
          <w:rFonts w:hint="eastAsia" w:ascii="仿宋" w:hAnsi="仿宋" w:eastAsia="仿宋" w:cs="仿宋"/>
          <w:color w:val="000000" w:themeColor="text1"/>
          <w:sz w:val="28"/>
          <w:szCs w:val="28"/>
        </w:rPr>
        <w:t>缩减</w:t>
      </w:r>
      <w:r>
        <w:rPr>
          <w:rFonts w:hint="eastAsia" w:ascii="仿宋" w:hAnsi="仿宋" w:eastAsia="仿宋" w:cs="仿宋"/>
          <w:color w:val="000000" w:themeColor="text1"/>
          <w:sz w:val="28"/>
          <w:szCs w:val="28"/>
          <w:lang w:val="en-US" w:eastAsia="zh-CN"/>
        </w:rPr>
        <w:t>了</w:t>
      </w:r>
      <w:r>
        <w:rPr>
          <w:rFonts w:hint="eastAsia" w:ascii="仿宋" w:hAnsi="仿宋" w:eastAsia="仿宋" w:cs="仿宋"/>
          <w:color w:val="000000" w:themeColor="text1"/>
          <w:sz w:val="28"/>
          <w:szCs w:val="28"/>
        </w:rPr>
        <w:t>开支。</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其中：基本支出268.93万元，项目支出0万元；主要用于以下方面：一般公共服务（类）支出0，占总支出的0%；社会保障和就业支出24.19万元，占总支出的9%；住房保障支出16.57万元，占总支出的6.16%。</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六、一般公共预算财政拨款基本支出决算情况说明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2020年财政拨款基本支出268.93万元，比年初预算数减少1.5万元，降低0.1%，增减的主要原因：</w:t>
      </w:r>
      <w:r>
        <w:rPr>
          <w:rFonts w:hint="eastAsia" w:ascii="仿宋" w:hAnsi="仿宋" w:eastAsia="仿宋" w:cs="仿宋"/>
          <w:color w:val="000000" w:themeColor="text1"/>
          <w:sz w:val="28"/>
          <w:szCs w:val="28"/>
          <w:lang w:val="en-US" w:eastAsia="zh-CN"/>
        </w:rPr>
        <w:t>按要求</w:t>
      </w:r>
      <w:r>
        <w:rPr>
          <w:rFonts w:hint="eastAsia" w:ascii="仿宋" w:hAnsi="仿宋" w:eastAsia="仿宋" w:cs="仿宋"/>
          <w:color w:val="000000" w:themeColor="text1"/>
          <w:sz w:val="28"/>
          <w:szCs w:val="28"/>
        </w:rPr>
        <w:t>缩减</w:t>
      </w:r>
      <w:r>
        <w:rPr>
          <w:rFonts w:hint="eastAsia" w:ascii="仿宋" w:hAnsi="仿宋" w:eastAsia="仿宋" w:cs="仿宋"/>
          <w:color w:val="000000" w:themeColor="text1"/>
          <w:sz w:val="28"/>
          <w:szCs w:val="28"/>
          <w:lang w:val="en-US" w:eastAsia="zh-CN"/>
        </w:rPr>
        <w:t>了</w:t>
      </w:r>
      <w:r>
        <w:rPr>
          <w:rFonts w:hint="eastAsia" w:ascii="仿宋" w:hAnsi="仿宋" w:eastAsia="仿宋" w:cs="仿宋"/>
          <w:color w:val="000000" w:themeColor="text1"/>
          <w:sz w:val="28"/>
          <w:szCs w:val="28"/>
        </w:rPr>
        <w:t>开支。</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其中：工资福利支出155.59万元，占总支出的57.9%；对个人和家庭的补助支出3.32万元，占总支出的1.23%；商品和服务支出37.08万元，占总支出的13.78%。</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七、一般公共预算财政拨款“三公“经费情况说明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通城县沙堆镇大柱完小2021年“三公”经费财政拨款支出为0.19万元，完成年初预算为0.15万元的126.67%。少于预算数的原因是: 接待工作减少。</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1、因公出国（境</w:t>
      </w:r>
      <w:bookmarkStart w:id="0" w:name="_GoBack"/>
      <w:bookmarkEnd w:id="0"/>
      <w:r>
        <w:rPr>
          <w:rFonts w:hint="eastAsia" w:ascii="仿宋" w:hAnsi="仿宋" w:eastAsia="仿宋" w:cs="仿宋"/>
          <w:color w:val="000000" w:themeColor="text1"/>
          <w:sz w:val="28"/>
          <w:szCs w:val="28"/>
        </w:rPr>
        <w:t>）费决算0万元,包括单位工作人员公务出国（境）的差旅费、伙食补助费、杂费、培训费等支出，比年初预算数增加0 万元，增长0%。使用财政拨款安排等单位出国（境）团组0个、参加其他单位组织的出国（境）团组0个，全年因工出国（境）团组共计0个，累计0人次，与上年相比增加0个，0人次。</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2、本单位公务用车保有量0辆，公务用车购置及运行维护费</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万元。比年初预算数增加</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万元，增长</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%。其中：公务用车购置支出为</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万元；公务用车运行维护支出</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万元。与上年相比增加</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3、公务接待费决算</w:t>
      </w:r>
      <w:r>
        <w:rPr>
          <w:rFonts w:hint="eastAsia" w:ascii="仿宋" w:hAnsi="仿宋" w:eastAsia="仿宋" w:cs="仿宋"/>
          <w:color w:val="000000" w:themeColor="text1"/>
          <w:sz w:val="28"/>
          <w:szCs w:val="28"/>
          <w:lang w:val="en-US" w:eastAsia="zh-CN"/>
        </w:rPr>
        <w:t>0.19</w:t>
      </w:r>
      <w:r>
        <w:rPr>
          <w:rFonts w:hint="eastAsia" w:ascii="仿宋" w:hAnsi="仿宋" w:eastAsia="仿宋" w:cs="仿宋"/>
          <w:color w:val="000000" w:themeColor="text1"/>
          <w:sz w:val="28"/>
          <w:szCs w:val="28"/>
        </w:rPr>
        <w:t>万元，包括单位按规定开支的各类公务接待（含外宾接待）支出。比年初预算数减少</w:t>
      </w:r>
      <w:r>
        <w:rPr>
          <w:rFonts w:hint="eastAsia" w:ascii="仿宋" w:hAnsi="仿宋" w:eastAsia="仿宋" w:cs="仿宋"/>
          <w:color w:val="000000" w:themeColor="text1"/>
          <w:sz w:val="28"/>
          <w:szCs w:val="28"/>
          <w:lang w:val="en-US" w:eastAsia="zh-CN"/>
        </w:rPr>
        <w:t>0.19</w:t>
      </w:r>
      <w:r>
        <w:rPr>
          <w:rFonts w:hint="eastAsia" w:ascii="仿宋" w:hAnsi="仿宋" w:eastAsia="仿宋" w:cs="仿宋"/>
          <w:color w:val="000000" w:themeColor="text1"/>
          <w:sz w:val="28"/>
          <w:szCs w:val="28"/>
        </w:rPr>
        <w:t>万元，降低</w:t>
      </w:r>
      <w:r>
        <w:rPr>
          <w:rFonts w:hint="eastAsia" w:ascii="仿宋" w:hAnsi="仿宋" w:eastAsia="仿宋" w:cs="仿宋"/>
          <w:color w:val="000000" w:themeColor="text1"/>
          <w:sz w:val="28"/>
          <w:szCs w:val="28"/>
          <w:lang w:val="en-US" w:eastAsia="zh-CN"/>
        </w:rPr>
        <w:t>50</w:t>
      </w:r>
      <w:r>
        <w:rPr>
          <w:rFonts w:hint="eastAsia" w:ascii="仿宋" w:hAnsi="仿宋" w:eastAsia="仿宋" w:cs="仿宋"/>
          <w:color w:val="000000" w:themeColor="text1"/>
          <w:sz w:val="28"/>
          <w:szCs w:val="28"/>
        </w:rPr>
        <w:t>%。其中：国内公务接待支出</w:t>
      </w:r>
      <w:r>
        <w:rPr>
          <w:rFonts w:hint="eastAsia" w:ascii="仿宋" w:hAnsi="仿宋" w:eastAsia="仿宋" w:cs="仿宋"/>
          <w:color w:val="000000" w:themeColor="text1"/>
          <w:sz w:val="28"/>
          <w:szCs w:val="28"/>
          <w:lang w:val="en-US" w:eastAsia="zh-CN"/>
        </w:rPr>
        <w:t>0.19</w:t>
      </w:r>
      <w:r>
        <w:rPr>
          <w:rFonts w:hint="eastAsia" w:ascii="仿宋" w:hAnsi="仿宋" w:eastAsia="仿宋" w:cs="仿宋"/>
          <w:color w:val="000000" w:themeColor="text1"/>
          <w:sz w:val="28"/>
          <w:szCs w:val="28"/>
        </w:rPr>
        <w:t>万元，接待</w:t>
      </w:r>
      <w:r>
        <w:rPr>
          <w:rFonts w:hint="eastAsia" w:ascii="仿宋" w:hAnsi="仿宋" w:eastAsia="仿宋" w:cs="仿宋"/>
          <w:color w:val="000000" w:themeColor="text1"/>
          <w:sz w:val="28"/>
          <w:szCs w:val="28"/>
          <w:lang w:val="en-US" w:eastAsia="zh-CN"/>
        </w:rPr>
        <w:t>5</w:t>
      </w:r>
      <w:r>
        <w:rPr>
          <w:rFonts w:hint="eastAsia" w:ascii="仿宋" w:hAnsi="仿宋" w:eastAsia="仿宋" w:cs="仿宋"/>
          <w:color w:val="000000" w:themeColor="text1"/>
          <w:sz w:val="28"/>
          <w:szCs w:val="28"/>
        </w:rPr>
        <w:t>批次、</w:t>
      </w:r>
      <w:r>
        <w:rPr>
          <w:rFonts w:hint="eastAsia" w:ascii="仿宋" w:hAnsi="仿宋" w:eastAsia="仿宋" w:cs="仿宋"/>
          <w:color w:val="000000" w:themeColor="text1"/>
          <w:sz w:val="28"/>
          <w:szCs w:val="28"/>
          <w:lang w:val="en-US" w:eastAsia="zh-CN"/>
        </w:rPr>
        <w:t>38</w:t>
      </w:r>
      <w:r>
        <w:rPr>
          <w:rFonts w:hint="eastAsia" w:ascii="仿宋" w:hAnsi="仿宋" w:eastAsia="仿宋" w:cs="仿宋"/>
          <w:color w:val="000000" w:themeColor="text1"/>
          <w:sz w:val="28"/>
          <w:szCs w:val="28"/>
        </w:rPr>
        <w:t>人次。外事接待支出</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万元，接待</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批次、</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人次。与上年相比减少</w:t>
      </w:r>
      <w:r>
        <w:rPr>
          <w:rFonts w:hint="eastAsia" w:ascii="仿宋" w:hAnsi="仿宋" w:eastAsia="仿宋" w:cs="仿宋"/>
          <w:color w:val="000000" w:themeColor="text1"/>
          <w:sz w:val="28"/>
          <w:szCs w:val="28"/>
          <w:lang w:val="en-US" w:eastAsia="zh-CN"/>
        </w:rPr>
        <w:t>0.01</w:t>
      </w:r>
      <w:r>
        <w:rPr>
          <w:rFonts w:hint="eastAsia" w:ascii="仿宋" w:hAnsi="仿宋" w:eastAsia="仿宋" w:cs="仿宋"/>
          <w:color w:val="000000" w:themeColor="text1"/>
          <w:sz w:val="28"/>
          <w:szCs w:val="28"/>
        </w:rPr>
        <w:t>万元。主要是因为制定了严格的财务管理制度，压缩不必要的接待，控制接待标准，坚持勤俭节约的作风。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八、政府性基金预算财政拨款收入支出决算说明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本单位政府性基金预算财政拨款收入</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万元；支出</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万元，其中：基本支出</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万元，主要用于学校教育教学。项目支出0万元。</w:t>
      </w:r>
    </w:p>
    <w:p>
      <w:pPr>
        <w:numPr>
          <w:ilvl w:val="0"/>
          <w:numId w:val="1"/>
        </w:num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国有资本经营预算财政拨款支出决算情况说明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本单位国有资本经营预算财政拨款支出</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万元，其中：基本支出</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万元。项目支出</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十、机关运行经费支出情况</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本部门（单位）2021年度机关运行经费支出268.93万元，与上年相比减少1.5万元，减少的主要原因是:缩减经费开支。</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中：办公费7.38万元、印刷费2.63万元、水费1.49万元，电费2.29万元，邮电费0.50万元、物业管理费8.31万元，差旅费0.20万元、维修（护）费5.12万元，会议费0.65万元，培训费0.60万元，公务招待费0.19万元，工会经费3.44万元，公务用车运行维护费0万元，其他交通费用0.87万元，其他商品和服务支出0.30万元。</w:t>
      </w:r>
    </w:p>
    <w:p>
      <w:pPr>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rPr>
        <w:t>2021年度机关运行经费支出比年初预算数减少1.5万元，降低0.10%。主要原因是：办公设施设备购置经费减少</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落实过紧日子要求压减</w:t>
      </w:r>
      <w:r>
        <w:rPr>
          <w:rFonts w:hint="eastAsia" w:ascii="仿宋" w:hAnsi="仿宋" w:eastAsia="仿宋" w:cs="仿宋"/>
          <w:color w:val="000000" w:themeColor="text1"/>
          <w:sz w:val="28"/>
          <w:szCs w:val="28"/>
          <w:lang w:val="en-US" w:eastAsia="zh-CN"/>
        </w:rPr>
        <w:t>办公</w:t>
      </w:r>
      <w:r>
        <w:rPr>
          <w:rFonts w:hint="eastAsia" w:ascii="仿宋" w:hAnsi="仿宋" w:eastAsia="仿宋" w:cs="仿宋"/>
          <w:color w:val="000000" w:themeColor="text1"/>
          <w:sz w:val="28"/>
          <w:szCs w:val="28"/>
        </w:rPr>
        <w:t>支出</w:t>
      </w:r>
      <w:r>
        <w:rPr>
          <w:rFonts w:hint="eastAsia" w:ascii="仿宋" w:hAnsi="仿宋" w:eastAsia="仿宋" w:cs="仿宋"/>
          <w:color w:val="000000" w:themeColor="text1"/>
          <w:sz w:val="28"/>
          <w:szCs w:val="28"/>
          <w:lang w:eastAsia="zh-CN"/>
        </w:rPr>
        <w:t>。</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十一、政府采购支出情况</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2021年通城县沙堆镇大柱完小政府采购支出总额</w:t>
      </w:r>
      <w:r>
        <w:rPr>
          <w:rFonts w:hint="eastAsia" w:ascii="仿宋" w:hAnsi="仿宋" w:eastAsia="仿宋" w:cs="仿宋"/>
          <w:color w:val="000000" w:themeColor="text1"/>
          <w:sz w:val="28"/>
          <w:szCs w:val="28"/>
          <w:lang w:val="en-US" w:eastAsia="zh-CN"/>
        </w:rPr>
        <w:t>1.7</w:t>
      </w:r>
      <w:r>
        <w:rPr>
          <w:rFonts w:hint="eastAsia" w:ascii="仿宋" w:hAnsi="仿宋" w:eastAsia="仿宋" w:cs="仿宋"/>
          <w:color w:val="000000" w:themeColor="text1"/>
          <w:sz w:val="28"/>
          <w:szCs w:val="28"/>
        </w:rPr>
        <w:t>万元，其中：政府采购货物支出</w:t>
      </w:r>
      <w:r>
        <w:rPr>
          <w:rFonts w:hint="eastAsia" w:ascii="仿宋" w:hAnsi="仿宋" w:eastAsia="仿宋" w:cs="仿宋"/>
          <w:color w:val="000000" w:themeColor="text1"/>
          <w:sz w:val="28"/>
          <w:szCs w:val="28"/>
          <w:lang w:val="en-US" w:eastAsia="zh-CN"/>
        </w:rPr>
        <w:t>1.7</w:t>
      </w:r>
      <w:r>
        <w:rPr>
          <w:rFonts w:hint="eastAsia" w:ascii="仿宋" w:hAnsi="仿宋" w:eastAsia="仿宋" w:cs="仿宋"/>
          <w:color w:val="000000" w:themeColor="text1"/>
          <w:sz w:val="28"/>
          <w:szCs w:val="28"/>
        </w:rPr>
        <w:t>万元、政府采购工程支出0万元、政府采购服务支出0万元。</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十二、关于国有资产占用情况说明</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截至2021年12月31日，通城县沙堆镇大柱完小共有车辆0辆，其中，主要领导干部用车</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辆、机要通信用车</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辆、应急保障用车</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辆、执法执勤用车</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辆、特种专业技术用车</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辆、离退休干部用车</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辆、其他用车</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辆；单位价值 50万元以上通用设备</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台（套）；单位价值 100万元以上专用设备</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台（套）。</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十三、关于2021年度预算绩效情况的说明</w:t>
      </w:r>
    </w:p>
    <w:p>
      <w:pPr>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（一）预算绩效管理工作开展情况</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根据预算绩效管理要求，通城县沙堆镇大柱完小组织对2020年度一般公共预算项目支出全面开展绩效自评，共涉及项目</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个，资金</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万元，占一般公共预算项目支出总额的</w:t>
      </w:r>
      <w:r>
        <w:rPr>
          <w:rFonts w:hint="eastAsia" w:ascii="仿宋" w:hAnsi="仿宋" w:eastAsia="仿宋" w:cs="仿宋"/>
          <w:color w:val="000000" w:themeColor="text1"/>
          <w:sz w:val="28"/>
          <w:szCs w:val="28"/>
          <w:lang w:val="en-US" w:eastAsia="zh-CN"/>
        </w:rPr>
        <w:t>0</w:t>
      </w:r>
      <w:r>
        <w:rPr>
          <w:rFonts w:hint="eastAsia" w:ascii="仿宋" w:hAnsi="仿宋" w:eastAsia="仿宋" w:cs="仿宋"/>
          <w:color w:val="000000" w:themeColor="text1"/>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ind w:firstLine="560" w:firstLineChars="200"/>
        <w:rPr>
          <w:rFonts w:hint="eastAsia" w:ascii="仿宋" w:hAnsi="仿宋" w:eastAsia="仿宋" w:cs="仿宋"/>
          <w:color w:val="000000" w:themeColor="text1"/>
          <w:sz w:val="28"/>
          <w:szCs w:val="28"/>
        </w:rPr>
      </w:pPr>
    </w:p>
    <w:p>
      <w:pPr>
        <w:ind w:firstLine="562" w:firstLineChars="200"/>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第三部分 名词解释</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一、财政拨款收入：指县级财政当年拨付的资金。</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二、其他收入：指除“财政拨款收入”、“上级补助收入”、“事业收入”、“经营收入”等以外的收入。</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三、年初结转和结余：指以前年度尚未完成、结转到本年按有关规定继续使用的资金。</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五、项目支出：指在基本支出之外为完成特定行政任务和事业发展目标所发生的支出。</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六、三公”经费：是指用财政拨款安排的因公出国（境）费、公务用车购置及运行维护费、公务接待费。</w:t>
      </w: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第四部分通城县沙堆镇大柱完小2021年部门决算公开表</w:t>
      </w:r>
    </w:p>
    <w:p>
      <w:pPr>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附表：</w:t>
      </w:r>
      <w:r>
        <w:rPr>
          <w:rFonts w:hint="eastAsia" w:ascii="仿宋" w:hAnsi="仿宋" w:eastAsia="仿宋" w:cs="仿宋"/>
          <w:b/>
          <w:bCs/>
          <w:color w:val="000000" w:themeColor="text1"/>
          <w:sz w:val="28"/>
          <w:szCs w:val="28"/>
        </w:rPr>
        <w:t>2021年部门决算公开表</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NhOWI3NGExOTJhOTgyMTY2OWZmYzNkZmE0ZjIyOWU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C448C"/>
    <w:rsid w:val="003D37D8"/>
    <w:rsid w:val="003D4761"/>
    <w:rsid w:val="00425221"/>
    <w:rsid w:val="00426133"/>
    <w:rsid w:val="004358AB"/>
    <w:rsid w:val="00472CE1"/>
    <w:rsid w:val="004952F4"/>
    <w:rsid w:val="004C4B1F"/>
    <w:rsid w:val="004E1DEA"/>
    <w:rsid w:val="00595177"/>
    <w:rsid w:val="005D7E98"/>
    <w:rsid w:val="006012FC"/>
    <w:rsid w:val="00621FFD"/>
    <w:rsid w:val="006B0F8C"/>
    <w:rsid w:val="007603CD"/>
    <w:rsid w:val="0081370C"/>
    <w:rsid w:val="008302C1"/>
    <w:rsid w:val="0084774B"/>
    <w:rsid w:val="00884912"/>
    <w:rsid w:val="008B7726"/>
    <w:rsid w:val="008C7615"/>
    <w:rsid w:val="0096570F"/>
    <w:rsid w:val="00980BA8"/>
    <w:rsid w:val="009B18E6"/>
    <w:rsid w:val="009F445D"/>
    <w:rsid w:val="00A01854"/>
    <w:rsid w:val="00A27E47"/>
    <w:rsid w:val="00A47EE4"/>
    <w:rsid w:val="00A53175"/>
    <w:rsid w:val="00B402FC"/>
    <w:rsid w:val="00B56D32"/>
    <w:rsid w:val="00BE0D05"/>
    <w:rsid w:val="00CB0807"/>
    <w:rsid w:val="00CC7743"/>
    <w:rsid w:val="00D14E39"/>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E1382E"/>
    <w:rsid w:val="07A34388"/>
    <w:rsid w:val="0AC15253"/>
    <w:rsid w:val="0CAD39DF"/>
    <w:rsid w:val="0D496972"/>
    <w:rsid w:val="10170B6C"/>
    <w:rsid w:val="12722411"/>
    <w:rsid w:val="12F776A2"/>
    <w:rsid w:val="174E382A"/>
    <w:rsid w:val="1DF83229"/>
    <w:rsid w:val="21F20282"/>
    <w:rsid w:val="221D4684"/>
    <w:rsid w:val="238F4327"/>
    <w:rsid w:val="240C4C9B"/>
    <w:rsid w:val="252533C6"/>
    <w:rsid w:val="2E08741A"/>
    <w:rsid w:val="2E141D56"/>
    <w:rsid w:val="3B231466"/>
    <w:rsid w:val="3CE4661E"/>
    <w:rsid w:val="3E2A4607"/>
    <w:rsid w:val="3E94641E"/>
    <w:rsid w:val="40DF5987"/>
    <w:rsid w:val="46930B4F"/>
    <w:rsid w:val="4795374B"/>
    <w:rsid w:val="4C3F1C89"/>
    <w:rsid w:val="4D1465D5"/>
    <w:rsid w:val="538D1424"/>
    <w:rsid w:val="57692496"/>
    <w:rsid w:val="5A5A1F55"/>
    <w:rsid w:val="5DBC3AEC"/>
    <w:rsid w:val="63C34202"/>
    <w:rsid w:val="63DE052E"/>
    <w:rsid w:val="644B3A0A"/>
    <w:rsid w:val="65190674"/>
    <w:rsid w:val="67894922"/>
    <w:rsid w:val="67D610E5"/>
    <w:rsid w:val="681F1ADC"/>
    <w:rsid w:val="682D17E6"/>
    <w:rsid w:val="6CEA3D08"/>
    <w:rsid w:val="71F2684D"/>
    <w:rsid w:val="754C1978"/>
    <w:rsid w:val="76D62E47"/>
    <w:rsid w:val="7BE87C8D"/>
    <w:rsid w:val="7D54730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572</Words>
  <Characters>3263</Characters>
  <Lines>27</Lines>
  <Paragraphs>7</Paragraphs>
  <TotalTime>19</TotalTime>
  <ScaleCrop>false</ScaleCrop>
  <LinksUpToDate>false</LinksUpToDate>
  <CharactersWithSpaces>3828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2022-09-22T10:02:23Z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