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440" w:firstLineChars="200"/>
        <w:jc w:val="center"/>
      </w:pPr>
    </w:p>
    <w:p>
      <w:pPr>
        <w:spacing w:line="440" w:lineRule="exact"/>
        <w:jc w:val="center"/>
        <w:rPr>
          <w:rFonts w:ascii="新宋体" w:hAnsi="新宋体" w:eastAsia="新宋体" w:cs="新宋体"/>
          <w:sz w:val="32"/>
          <w:szCs w:val="32"/>
        </w:rPr>
      </w:pPr>
      <w:r>
        <w:rPr>
          <w:rFonts w:hint="eastAsia" w:ascii="仿宋" w:hAnsi="仿宋" w:eastAsia="仿宋" w:cs="仿宋"/>
          <w:b/>
          <w:bCs/>
          <w:sz w:val="32"/>
          <w:szCs w:val="32"/>
          <w:shd w:val="clear" w:color="auto" w:fill="FFFFFF"/>
        </w:rPr>
        <w:t>【通城县四庄乡大源小学】</w:t>
      </w:r>
      <w:r>
        <w:rPr>
          <w:rFonts w:hint="eastAsia" w:ascii="新宋体" w:hAnsi="新宋体" w:eastAsia="新宋体" w:cs="新宋体"/>
          <w:sz w:val="32"/>
          <w:szCs w:val="32"/>
        </w:rPr>
        <w:t>2021年部门决算公开</w:t>
      </w:r>
    </w:p>
    <w:p>
      <w:pPr>
        <w:spacing w:line="440" w:lineRule="exact"/>
        <w:ind w:firstLine="440" w:firstLineChars="200"/>
        <w:rPr>
          <w:rFonts w:ascii="新宋体" w:hAnsi="新宋体" w:eastAsia="新宋体" w:cs="新宋体"/>
        </w:rPr>
      </w:pPr>
    </w:p>
    <w:p>
      <w:pPr>
        <w:ind w:firstLine="640" w:firstLineChars="200"/>
        <w:jc w:val="center"/>
        <w:rPr>
          <w:rFonts w:ascii="新宋体" w:hAnsi="新宋体" w:eastAsia="新宋体" w:cs="新宋体"/>
          <w:sz w:val="32"/>
          <w:szCs w:val="32"/>
        </w:rPr>
      </w:pPr>
      <w:r>
        <w:rPr>
          <w:rFonts w:hint="eastAsia" w:ascii="新宋体" w:hAnsi="新宋体" w:eastAsia="新宋体" w:cs="新宋体"/>
          <w:sz w:val="32"/>
          <w:szCs w:val="32"/>
        </w:rPr>
        <w:t>目　录</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第一部分 通城县四庄乡大源小学概况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ind w:firstLine="560" w:firstLineChars="200"/>
        <w:rPr>
          <w:rFonts w:ascii="仿宋" w:hAnsi="仿宋" w:eastAsia="仿宋" w:cs="仿宋"/>
          <w:sz w:val="28"/>
          <w:szCs w:val="28"/>
        </w:rPr>
      </w:pPr>
      <w:r>
        <w:rPr>
          <w:rFonts w:hint="eastAsia" w:ascii="仿宋" w:hAnsi="仿宋" w:eastAsia="仿宋" w:cs="仿宋"/>
          <w:sz w:val="28"/>
          <w:szCs w:val="28"/>
        </w:rPr>
        <w:t>三、人员构成情况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第二部分 通城县四庄乡大源小学2021年部门决算情况说明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十二、国有资产占用情况</w:t>
      </w:r>
    </w:p>
    <w:p>
      <w:pPr>
        <w:ind w:firstLine="560" w:firstLineChars="200"/>
        <w:rPr>
          <w:rFonts w:ascii="仿宋" w:hAnsi="仿宋" w:eastAsia="仿宋" w:cs="仿宋"/>
          <w:sz w:val="28"/>
          <w:szCs w:val="28"/>
        </w:rPr>
      </w:pPr>
      <w:r>
        <w:rPr>
          <w:rFonts w:hint="eastAsia" w:ascii="仿宋" w:hAnsi="仿宋" w:eastAsia="仿宋" w:cs="仿宋"/>
          <w:sz w:val="28"/>
          <w:szCs w:val="28"/>
        </w:rPr>
        <w:t>十三、预算绩效管理工作开展情况</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第三部分 名词解释</w:t>
      </w:r>
    </w:p>
    <w:p>
      <w:pPr>
        <w:rPr>
          <w:rFonts w:ascii="仿宋" w:hAnsi="仿宋" w:eastAsia="仿宋" w:cs="仿宋"/>
          <w:b/>
          <w:bCs/>
          <w:sz w:val="28"/>
          <w:szCs w:val="28"/>
        </w:rPr>
      </w:pPr>
      <w:r>
        <w:rPr>
          <w:rFonts w:hint="eastAsia" w:ascii="仿宋" w:hAnsi="仿宋" w:eastAsia="仿宋" w:cs="仿宋"/>
          <w:b/>
          <w:bCs/>
          <w:sz w:val="28"/>
          <w:szCs w:val="28"/>
        </w:rPr>
        <w:t>　　第四部分 通城县四庄乡大源小学2021年部门决算表</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二、收入决算表</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四、财政拨款收入支出决算总表</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七、财政拨款“三公”经费支出决算表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八、政府性基金预算财政拨款收入支出决算表</w:t>
      </w:r>
    </w:p>
    <w:p>
      <w:pPr>
        <w:ind w:firstLine="560" w:firstLineChars="200"/>
        <w:rPr>
          <w:rFonts w:ascii="仿宋" w:hAnsi="仿宋" w:eastAsia="仿宋" w:cs="仿宋"/>
          <w:sz w:val="28"/>
          <w:szCs w:val="28"/>
        </w:rPr>
      </w:pPr>
      <w:r>
        <w:rPr>
          <w:rFonts w:hint="eastAsia" w:ascii="仿宋" w:hAnsi="仿宋" w:eastAsia="仿宋" w:cs="仿宋"/>
          <w:sz w:val="28"/>
          <w:szCs w:val="28"/>
        </w:rPr>
        <w:t>九、国有资本经营预预算财政拨款支出决算表</w:t>
      </w:r>
    </w:p>
    <w:p>
      <w:pPr>
        <w:ind w:firstLine="560" w:firstLineChars="200"/>
        <w:rPr>
          <w:rFonts w:ascii="仿宋" w:hAnsi="仿宋" w:eastAsia="仿宋" w:cs="仿宋"/>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spacing w:line="360" w:lineRule="auto"/>
        <w:ind w:firstLine="562" w:firstLineChars="200"/>
        <w:jc w:val="center"/>
        <w:rPr>
          <w:rFonts w:ascii="仿宋" w:hAnsi="仿宋" w:eastAsia="仿宋" w:cs="仿宋"/>
          <w:b/>
          <w:bCs/>
          <w:sz w:val="28"/>
          <w:szCs w:val="28"/>
        </w:rPr>
      </w:pPr>
    </w:p>
    <w:p>
      <w:pPr>
        <w:ind w:firstLine="562" w:firstLineChars="200"/>
        <w:jc w:val="center"/>
        <w:rPr>
          <w:rFonts w:ascii="仿宋" w:hAnsi="仿宋" w:eastAsia="仿宋" w:cs="仿宋"/>
          <w:b/>
          <w:bCs/>
          <w:sz w:val="28"/>
          <w:szCs w:val="28"/>
        </w:rPr>
      </w:pPr>
    </w:p>
    <w:p>
      <w:pPr>
        <w:jc w:val="center"/>
        <w:rPr>
          <w:rFonts w:ascii="仿宋" w:hAnsi="仿宋" w:eastAsia="仿宋" w:cs="仿宋"/>
          <w:b/>
          <w:bCs/>
          <w:sz w:val="28"/>
          <w:szCs w:val="28"/>
        </w:rPr>
      </w:pPr>
      <w:r>
        <w:rPr>
          <w:rFonts w:hint="eastAsia" w:ascii="仿宋" w:hAnsi="仿宋" w:eastAsia="仿宋" w:cs="仿宋"/>
          <w:b/>
          <w:bCs/>
          <w:sz w:val="28"/>
          <w:szCs w:val="28"/>
        </w:rPr>
        <w:t>第一部分  通城县四庄乡大源小学概况</w:t>
      </w:r>
    </w:p>
    <w:p>
      <w:pPr>
        <w:ind w:firstLine="560" w:firstLineChars="200"/>
        <w:rPr>
          <w:rFonts w:ascii="仿宋" w:hAnsi="仿宋" w:eastAsia="仿宋" w:cs="仿宋"/>
          <w:sz w:val="28"/>
          <w:szCs w:val="28"/>
        </w:rPr>
      </w:pPr>
      <w:r>
        <w:rPr>
          <w:rFonts w:hint="eastAsia" w:ascii="仿宋" w:hAnsi="仿宋" w:eastAsia="仿宋" w:cs="仿宋"/>
          <w:sz w:val="28"/>
          <w:szCs w:val="28"/>
        </w:rPr>
        <w:t>一、主要职能</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（一）贯彻执行党和国家关于教育改革与发展的各项方针、政策；拟订有关教育的地方性规章草案及规范性文件。</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（二）拟订全校教育事业发展规划并组织实施，统筹规划、指导全校教育、教学体制改革。</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（三）统筹管理本校教育经费；筹措和使用教育经费使用的办法和方案；组织指导全校资助贫困家庭学生工作。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（四）规划全校的思想政治教育、德育、体育、卫生与艺术教育及国防教育工作。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（五）贯彻执行国家语言文字工作的方针、政策；编制全校语言文字工作中长期规划；组织指导推广普通话、普通话师资培训和测试工作。</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（六）承办上级交办的其他工作。</w:t>
      </w:r>
    </w:p>
    <w:p>
      <w:pPr>
        <w:ind w:firstLine="560" w:firstLineChars="200"/>
        <w:rPr>
          <w:rFonts w:ascii="仿宋" w:hAnsi="仿宋" w:eastAsia="仿宋" w:cs="仿宋"/>
          <w:sz w:val="28"/>
          <w:szCs w:val="28"/>
        </w:rPr>
      </w:pPr>
    </w:p>
    <w:p>
      <w:pPr>
        <w:ind w:firstLine="560" w:firstLineChars="200"/>
        <w:rPr>
          <w:rFonts w:ascii="仿宋" w:hAnsi="仿宋" w:eastAsia="仿宋" w:cs="仿宋"/>
          <w:sz w:val="28"/>
          <w:szCs w:val="28"/>
        </w:rPr>
      </w:pPr>
      <w:r>
        <w:rPr>
          <w:rFonts w:hint="eastAsia" w:ascii="仿宋" w:hAnsi="仿宋" w:eastAsia="仿宋" w:cs="仿宋"/>
          <w:sz w:val="28"/>
          <w:szCs w:val="28"/>
        </w:rPr>
        <w:t>二、机构设置情况</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从预算单位构成看，通城县四庄乡大源小学部门预算机构包括：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rPr>
        <w:t>（四）</w:t>
      </w:r>
      <w:r>
        <w:rPr>
          <w:rFonts w:hint="eastAsia" w:ascii="仿宋" w:hAnsi="仿宋" w:eastAsia="仿宋" w:cs="仿宋"/>
          <w:i w:val="0"/>
          <w:caps w:val="0"/>
          <w:color w:val="auto"/>
          <w:spacing w:val="0"/>
          <w:sz w:val="28"/>
          <w:szCs w:val="28"/>
          <w:shd w:val="clear" w:fill="FFFFFF"/>
          <w:lang w:val="en-US" w:eastAsia="zh-CN"/>
        </w:rPr>
        <w:t>政教处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（五）总务处</w:t>
      </w:r>
    </w:p>
    <w:p>
      <w:pPr>
        <w:pStyle w:val="5"/>
        <w:adjustRightInd/>
        <w:snapToGrid/>
        <w:spacing w:beforeAutospacing="0" w:afterAutospacing="0" w:line="480" w:lineRule="atLeast"/>
        <w:ind w:firstLine="560" w:firstLineChars="200"/>
        <w:rPr>
          <w:rFonts w:ascii="仿宋" w:hAnsi="仿宋" w:eastAsia="仿宋" w:cs="仿宋"/>
          <w:sz w:val="28"/>
          <w:szCs w:val="28"/>
          <w:shd w:val="clear" w:color="auto" w:fill="FFFFFF"/>
        </w:rPr>
      </w:pPr>
    </w:p>
    <w:p>
      <w:pPr>
        <w:ind w:firstLine="440"/>
        <w:rPr>
          <w:rFonts w:ascii="仿宋" w:hAnsi="仿宋" w:eastAsia="仿宋" w:cs="仿宋"/>
          <w:sz w:val="28"/>
          <w:szCs w:val="28"/>
        </w:rPr>
      </w:pPr>
      <w:r>
        <w:rPr>
          <w:rFonts w:hint="eastAsia" w:ascii="仿宋" w:hAnsi="仿宋" w:eastAsia="仿宋" w:cs="仿宋"/>
          <w:sz w:val="28"/>
          <w:szCs w:val="28"/>
        </w:rPr>
        <w:t>三、人员构成情况</w:t>
      </w:r>
    </w:p>
    <w:p>
      <w:pPr>
        <w:ind w:firstLine="440"/>
        <w:rPr>
          <w:rFonts w:ascii="仿宋" w:hAnsi="仿宋" w:eastAsia="仿宋" w:cs="仿宋"/>
          <w:sz w:val="28"/>
          <w:szCs w:val="28"/>
        </w:rPr>
      </w:pPr>
      <w:r>
        <w:rPr>
          <w:rFonts w:hint="eastAsia" w:ascii="仿宋" w:hAnsi="仿宋" w:eastAsia="仿宋" w:cs="仿宋"/>
          <w:sz w:val="28"/>
          <w:szCs w:val="28"/>
        </w:rPr>
        <w:t> 截至2020年底，通城县四</w:t>
      </w:r>
      <w:r>
        <w:rPr>
          <w:rFonts w:hint="eastAsia" w:ascii="仿宋" w:hAnsi="仿宋" w:eastAsia="仿宋" w:cs="仿宋"/>
          <w:color w:val="000000" w:themeColor="text1"/>
          <w:sz w:val="28"/>
          <w:szCs w:val="28"/>
        </w:rPr>
        <w:t>庄乡大源小学</w:t>
      </w:r>
      <w:r>
        <w:rPr>
          <w:rFonts w:hint="eastAsia" w:ascii="仿宋" w:hAnsi="仿宋" w:eastAsia="仿宋" w:cs="仿宋"/>
          <w:sz w:val="28"/>
          <w:szCs w:val="28"/>
        </w:rPr>
        <w:t>核定的事业编制13个，工勤编制数0个。在岗人数12人，离退休13人。</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第二部分  通城县四庄乡大源小学2021年部门决算情况说明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一、收入支出决算情况说明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大源小学2021年收入决算数185.15万元、支出决算数185.15万元，与上年相比，收入增加25.4万元、增幅15.8%，支出增加25.4万元，增幅15.8%。主要原因是:“教育十大工程项目”拨款增加，学校公用经费增长。（学校学生数减少，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二、收入决算情况说明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通城县四庄乡大源小学2021年收入决算185.15万元，其中：财政拨款收入183.96万元，占比99.3%。</w:t>
      </w:r>
    </w:p>
    <w:p>
      <w:pPr>
        <w:ind w:firstLine="560" w:firstLineChars="200"/>
        <w:rPr>
          <w:rFonts w:ascii="仿宋" w:hAnsi="仿宋" w:eastAsia="仿宋" w:cs="仿宋"/>
          <w:sz w:val="28"/>
          <w:szCs w:val="28"/>
        </w:rPr>
      </w:pPr>
      <w:r>
        <w:rPr>
          <w:rFonts w:hint="eastAsia" w:ascii="仿宋" w:hAnsi="仿宋" w:eastAsia="仿宋" w:cs="仿宋"/>
          <w:sz w:val="28"/>
          <w:szCs w:val="28"/>
        </w:rPr>
        <w:t>三、支出决算情况说明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通城县四庄乡大源小学2021年支出决算185.15万元，其中：基本支出185.15万元，占支出总额的100%；项目支出0万元，占支出总额的0%。</w:t>
      </w:r>
    </w:p>
    <w:p>
      <w:pPr>
        <w:ind w:firstLine="560" w:firstLineChars="200"/>
        <w:rPr>
          <w:rFonts w:ascii="仿宋" w:hAnsi="仿宋" w:eastAsia="仿宋" w:cs="仿宋"/>
          <w:sz w:val="28"/>
          <w:szCs w:val="28"/>
        </w:rPr>
      </w:pPr>
      <w:r>
        <w:rPr>
          <w:rFonts w:hint="eastAsia" w:ascii="仿宋" w:hAnsi="仿宋" w:eastAsia="仿宋" w:cs="仿宋"/>
          <w:sz w:val="28"/>
          <w:szCs w:val="28"/>
        </w:rPr>
        <w:t>四、2021年财政拨款收入支出决算总体情况说明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通城县四庄乡大源小学2021年财政拨款收入决算数183.96万元、支出决算数183.96万元。与上年相比，财政拨款收入增加24.21万元，增幅15%。支出增加24.21万元，增幅15%。（学校学生数减少，公用经费减少）</w:t>
      </w:r>
    </w:p>
    <w:p>
      <w:pPr>
        <w:ind w:firstLine="560" w:firstLineChars="200"/>
        <w:rPr>
          <w:rFonts w:ascii="仿宋" w:hAnsi="仿宋" w:eastAsia="仿宋" w:cs="仿宋"/>
          <w:sz w:val="28"/>
          <w:szCs w:val="28"/>
        </w:rPr>
      </w:pPr>
      <w:r>
        <w:rPr>
          <w:rFonts w:hint="eastAsia" w:ascii="仿宋" w:hAnsi="仿宋" w:eastAsia="仿宋" w:cs="仿宋"/>
          <w:sz w:val="28"/>
          <w:szCs w:val="28"/>
        </w:rPr>
        <w:t>五、一般公共预算财政拨款支出决算情况说明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通城县四庄乡大源小学2021年财政拨款支出183.96万元，比年初预算数增加43.46万元，增长30.9%，增加的主要原因：“教育十大工程项目”拨付增加，人员增加。</w:t>
      </w:r>
    </w:p>
    <w:p>
      <w:pPr>
        <w:ind w:firstLine="560" w:firstLineChars="200"/>
        <w:rPr>
          <w:rFonts w:ascii="仿宋" w:hAnsi="仿宋" w:eastAsia="仿宋" w:cs="仿宋"/>
          <w:sz w:val="28"/>
          <w:szCs w:val="28"/>
        </w:rPr>
      </w:pPr>
      <w:r>
        <w:rPr>
          <w:rFonts w:hint="eastAsia" w:ascii="仿宋" w:hAnsi="仿宋" w:eastAsia="仿宋" w:cs="仿宋"/>
          <w:sz w:val="28"/>
          <w:szCs w:val="28"/>
        </w:rPr>
        <w:t>其中：基本支出183.96万元，项目支出0万元；主要用于以下方面：一般公共服务（类）支出0万元，占总支出的0%；社会保障和就业支出13.93万元，占总支出的7.5%；住房保障支出8.08万元，占总支出的4.3%。</w:t>
      </w:r>
    </w:p>
    <w:p>
      <w:pPr>
        <w:ind w:firstLine="560" w:firstLineChars="200"/>
        <w:rPr>
          <w:rFonts w:ascii="仿宋" w:hAnsi="仿宋" w:eastAsia="仿宋" w:cs="仿宋"/>
          <w:sz w:val="28"/>
          <w:szCs w:val="28"/>
        </w:rPr>
      </w:pPr>
      <w:r>
        <w:rPr>
          <w:rFonts w:hint="eastAsia" w:ascii="仿宋" w:hAnsi="仿宋" w:eastAsia="仿宋" w:cs="仿宋"/>
          <w:sz w:val="28"/>
          <w:szCs w:val="28"/>
        </w:rPr>
        <w:t>六、一般公共预算财政拨款基本支出决算情况说明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2021年财政拨款基本支出183.96万元，比年初预算数增加43.46万元，增长30.9%，增加的主要原因：人员增加，学校公用经费增长。</w:t>
      </w:r>
    </w:p>
    <w:p>
      <w:pPr>
        <w:ind w:firstLine="560" w:firstLineChars="200"/>
        <w:rPr>
          <w:rFonts w:ascii="仿宋" w:hAnsi="仿宋" w:eastAsia="仿宋" w:cs="仿宋"/>
          <w:sz w:val="28"/>
          <w:szCs w:val="28"/>
        </w:rPr>
      </w:pPr>
      <w:r>
        <w:rPr>
          <w:rFonts w:hint="eastAsia" w:ascii="仿宋" w:hAnsi="仿宋" w:eastAsia="仿宋" w:cs="仿宋"/>
          <w:sz w:val="28"/>
          <w:szCs w:val="28"/>
        </w:rPr>
        <w:t>其中：工资福利支出121.53万元，占总支出的65.6%；对个人和家庭的补助支出22.2万元，占总支出的11.9%；商品和服务支出17.23万元，占总支出的9%；资本性支出23万元，占总支出的12.4%。</w:t>
      </w:r>
    </w:p>
    <w:p>
      <w:pPr>
        <w:ind w:firstLine="560" w:firstLineChars="200"/>
        <w:rPr>
          <w:rFonts w:ascii="仿宋" w:hAnsi="仿宋" w:eastAsia="仿宋" w:cs="仿宋"/>
          <w:sz w:val="28"/>
          <w:szCs w:val="28"/>
        </w:rPr>
      </w:pPr>
      <w:r>
        <w:rPr>
          <w:rFonts w:hint="eastAsia" w:ascii="仿宋" w:hAnsi="仿宋" w:eastAsia="仿宋" w:cs="仿宋"/>
          <w:sz w:val="28"/>
          <w:szCs w:val="28"/>
        </w:rPr>
        <w:t>七、一般公共预算财政拨款“三公“经费情况说明</w:t>
      </w:r>
    </w:p>
    <w:p>
      <w:pPr>
        <w:ind w:firstLine="560" w:firstLineChars="200"/>
        <w:rPr>
          <w:rFonts w:ascii="仿宋" w:hAnsi="仿宋" w:eastAsia="仿宋" w:cs="仿宋"/>
          <w:sz w:val="28"/>
          <w:szCs w:val="28"/>
        </w:rPr>
      </w:pPr>
      <w:r>
        <w:rPr>
          <w:rFonts w:hint="eastAsia" w:ascii="仿宋" w:hAnsi="仿宋" w:eastAsia="仿宋" w:cs="仿宋"/>
          <w:sz w:val="28"/>
          <w:szCs w:val="28"/>
        </w:rPr>
        <w:t>通城县四庄乡大源小学2021年“三公”经费财政拨款支出为0万元，完成年初预算为0万元的0%。少于预算数的原因是: 接待工作减少。</w:t>
      </w:r>
    </w:p>
    <w:p>
      <w:pPr>
        <w:ind w:firstLine="560" w:firstLineChars="200"/>
        <w:rPr>
          <w:rFonts w:ascii="仿宋" w:hAnsi="仿宋" w:eastAsia="仿宋" w:cs="仿宋"/>
          <w:sz w:val="28"/>
          <w:szCs w:val="28"/>
        </w:rPr>
      </w:pPr>
      <w:r>
        <w:rPr>
          <w:rFonts w:hint="eastAsia" w:ascii="仿宋" w:hAnsi="仿宋" w:eastAsia="仿宋" w:cs="仿宋"/>
          <w:sz w:val="28"/>
          <w:szCs w:val="28"/>
        </w:rPr>
        <w:t>1、因公出国（境）费决算0万元,包括单位工作人员公务出国（境）的差旅费、伙食补助费、杂费、培训费等支出，比年初预算数增加（减少）0 万元，增长0%，主要原因：公务用车改革和认真贯彻落实中央、省、市、县关于厉行节约的各项要求，进一步从严控制“三公经费”开支。使用财政拨款安排单位出国（境）团组0个、参加其他单位组织的出国（境）团组0个，全年因工出国（境）团组共计0个，累计0人次，与上年相比增加（减少）0个，0人次。</w:t>
      </w:r>
    </w:p>
    <w:p>
      <w:pPr>
        <w:ind w:firstLine="560" w:firstLineChars="200"/>
        <w:rPr>
          <w:rFonts w:ascii="仿宋" w:hAnsi="仿宋" w:eastAsia="仿宋" w:cs="仿宋"/>
          <w:sz w:val="28"/>
          <w:szCs w:val="28"/>
        </w:rPr>
      </w:pPr>
      <w:r>
        <w:rPr>
          <w:rFonts w:hint="eastAsia" w:ascii="仿宋" w:hAnsi="仿宋" w:eastAsia="仿宋" w:cs="仿宋"/>
          <w:sz w:val="28"/>
          <w:szCs w:val="28"/>
        </w:rPr>
        <w:t>2、本单位公务用车保有量0辆，公务用车购置及运行维护费0万元。比年初预算数增加（减少）0 万元，增长（降低）0%，增加（减少）主要原因：公务用车改革和认真贯彻落实中央、省、市、区关于厉行节约的各项要求，进一步从严控制“三公经费”开支。其中：公务用车购置支出为0万元；公务用车运行维护支出0万元。与上年相比增加0万元，无增加。</w:t>
      </w:r>
    </w:p>
    <w:p>
      <w:pPr>
        <w:ind w:firstLine="560" w:firstLineChars="200"/>
        <w:rPr>
          <w:rFonts w:ascii="仿宋" w:hAnsi="仿宋" w:eastAsia="仿宋" w:cs="仿宋"/>
          <w:sz w:val="28"/>
          <w:szCs w:val="28"/>
        </w:rPr>
      </w:pPr>
      <w:r>
        <w:rPr>
          <w:rFonts w:hint="eastAsia" w:ascii="仿宋" w:hAnsi="仿宋" w:eastAsia="仿宋" w:cs="仿宋"/>
          <w:sz w:val="28"/>
          <w:szCs w:val="28"/>
        </w:rPr>
        <w:t>3、公务接待费决算0万元，包括单位按规定开支的各类公务接待（含外宾接待）支出。，比年初预算数减少0万元，降低0%，减少主要原因：公务用车改革和认真贯彻落实中央、省、市、县关于厉行节约的各项要求，进一步从严控制“三公经费”开支。其中：教育系统国内公务接待支出0万元，接待0批次、0人次。外事接待支出0万元，接待0批次、0人次。与上年相比减少0万元。主要是因为制定了严格的财务管理制度，压缩不必要的接待，控制接待标准，坚持勤俭节约的作风。</w:t>
      </w:r>
    </w:p>
    <w:p>
      <w:pPr>
        <w:ind w:firstLine="560" w:firstLineChars="200"/>
        <w:rPr>
          <w:rFonts w:ascii="仿宋" w:hAnsi="仿宋" w:eastAsia="仿宋" w:cs="仿宋"/>
          <w:sz w:val="28"/>
          <w:szCs w:val="28"/>
        </w:rPr>
      </w:pPr>
      <w:r>
        <w:rPr>
          <w:rFonts w:hint="eastAsia" w:ascii="仿宋" w:hAnsi="仿宋" w:eastAsia="仿宋" w:cs="仿宋"/>
          <w:sz w:val="28"/>
          <w:szCs w:val="28"/>
        </w:rPr>
        <w:t>八、政府性基金预算财政拨款收入支出决算说明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本单位政府性基金预算财政拨款收入0万元；支出0万元，其中：基本支出0万元。项目支出0万元。</w:t>
      </w:r>
    </w:p>
    <w:p>
      <w:pPr>
        <w:numPr>
          <w:ilvl w:val="0"/>
          <w:numId w:val="1"/>
        </w:numPr>
        <w:ind w:firstLine="560" w:firstLineChars="200"/>
        <w:rPr>
          <w:rFonts w:ascii="仿宋" w:hAnsi="仿宋" w:eastAsia="仿宋" w:cs="仿宋"/>
          <w:sz w:val="28"/>
          <w:szCs w:val="28"/>
        </w:rPr>
      </w:pPr>
      <w:r>
        <w:rPr>
          <w:rFonts w:hint="eastAsia" w:ascii="仿宋" w:hAnsi="仿宋" w:eastAsia="仿宋" w:cs="仿宋"/>
          <w:sz w:val="28"/>
          <w:szCs w:val="28"/>
        </w:rPr>
        <w:t>国有资本经营预算财政拨款支出决算情况说明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本单位国有资本经营预算财政拨款支出0万元，其中：基本支出0万元。项目支出0万元。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十、机关运行经费支出情况</w:t>
      </w:r>
    </w:p>
    <w:p>
      <w:pPr>
        <w:ind w:firstLine="560" w:firstLineChars="200"/>
        <w:rPr>
          <w:rFonts w:ascii="仿宋" w:hAnsi="仿宋" w:eastAsia="仿宋" w:cs="仿宋"/>
          <w:sz w:val="28"/>
          <w:szCs w:val="28"/>
        </w:rPr>
      </w:pPr>
      <w:r>
        <w:rPr>
          <w:rFonts w:hint="eastAsia" w:ascii="仿宋" w:hAnsi="仿宋" w:eastAsia="仿宋" w:cs="仿宋"/>
          <w:sz w:val="28"/>
          <w:szCs w:val="28"/>
        </w:rPr>
        <w:t>本部门2021年度运行经费支（公用经费）出40.23万元，与上年相比增加20.03万元，增加的主要原因是:</w:t>
      </w:r>
      <w:r>
        <w:rPr>
          <w:rFonts w:hint="eastAsia"/>
        </w:rPr>
        <w:t xml:space="preserve"> </w:t>
      </w:r>
      <w:r>
        <w:rPr>
          <w:rFonts w:hint="eastAsia" w:ascii="仿宋" w:hAnsi="仿宋" w:eastAsia="仿宋" w:cs="仿宋"/>
          <w:sz w:val="28"/>
          <w:szCs w:val="28"/>
        </w:rPr>
        <w:t>信息网络及软件购置更新，增加办公经费。</w:t>
      </w:r>
    </w:p>
    <w:p>
      <w:pPr>
        <w:ind w:firstLine="560" w:firstLineChars="200"/>
        <w:rPr>
          <w:rFonts w:ascii="仿宋" w:hAnsi="仿宋" w:eastAsia="仿宋" w:cs="仿宋"/>
          <w:sz w:val="28"/>
          <w:szCs w:val="28"/>
        </w:rPr>
      </w:pPr>
      <w:r>
        <w:rPr>
          <w:rFonts w:hint="eastAsia" w:ascii="仿宋" w:hAnsi="仿宋" w:eastAsia="仿宋" w:cs="仿宋"/>
          <w:sz w:val="28"/>
          <w:szCs w:val="28"/>
        </w:rPr>
        <w:t>其中：办公费7.08万元、印刷费0.24万元、 咨询费0万元、水费0.36万元，电费2.16万元，邮电费0万元，物业管理费0万元，差旅费0.65万元、维修（护）费1.50万元，  租赁费0万元，会议费0万元，培训费1.24万元，公务招待费0万元，专用材料费0万元，劳务费0.96万元， 委托业务费0万元，福利费0万元，公务用车运行维护费0万元，其他交通费用0万元， 税金及附加费用0万元，其他商品和服务支出3.03万元。</w:t>
      </w:r>
    </w:p>
    <w:p>
      <w:pPr>
        <w:ind w:firstLine="560" w:firstLineChars="200"/>
        <w:rPr>
          <w:rFonts w:ascii="仿宋" w:hAnsi="仿宋" w:eastAsia="仿宋" w:cs="仿宋"/>
          <w:sz w:val="28"/>
          <w:szCs w:val="28"/>
        </w:rPr>
      </w:pPr>
      <w:r>
        <w:rPr>
          <w:rFonts w:hint="eastAsia" w:ascii="仿宋" w:hAnsi="仿宋" w:eastAsia="仿宋" w:cs="仿宋"/>
          <w:sz w:val="28"/>
          <w:szCs w:val="28"/>
        </w:rPr>
        <w:t>2021年度学校运行经费支出比年初预算数增加44.65万元，增长31.7%。主要原因是：办公设施设备购置经费增加，资产运行维护支出增加，信息系统运行维护支出增加等。</w:t>
      </w:r>
    </w:p>
    <w:p>
      <w:pPr>
        <w:ind w:firstLine="560" w:firstLineChars="200"/>
        <w:rPr>
          <w:rFonts w:ascii="仿宋" w:hAnsi="仿宋" w:eastAsia="仿宋" w:cs="仿宋"/>
          <w:sz w:val="28"/>
          <w:szCs w:val="28"/>
        </w:rPr>
      </w:pPr>
      <w:r>
        <w:rPr>
          <w:rFonts w:hint="eastAsia" w:ascii="仿宋" w:hAnsi="仿宋" w:eastAsia="仿宋" w:cs="仿宋"/>
          <w:sz w:val="28"/>
          <w:szCs w:val="28"/>
        </w:rPr>
        <w:t>十一、政府采购支出情况</w:t>
      </w:r>
    </w:p>
    <w:p>
      <w:pPr>
        <w:ind w:firstLine="560" w:firstLineChars="200"/>
        <w:rPr>
          <w:rFonts w:ascii="仿宋" w:hAnsi="仿宋" w:eastAsia="仿宋" w:cs="仿宋"/>
          <w:sz w:val="28"/>
          <w:szCs w:val="28"/>
        </w:rPr>
      </w:pPr>
      <w:r>
        <w:rPr>
          <w:rFonts w:hint="eastAsia" w:ascii="仿宋" w:hAnsi="仿宋" w:eastAsia="仿宋" w:cs="仿宋"/>
          <w:sz w:val="28"/>
          <w:szCs w:val="28"/>
        </w:rPr>
        <w:t>2021年通城县大源小学政府采购支出总额0.4万元，其中： 政府采购货物支出0.4万元、政府采购工程支出0万元、政府采购服务支出0万元。</w:t>
      </w:r>
    </w:p>
    <w:p>
      <w:pPr>
        <w:ind w:firstLine="560" w:firstLineChars="200"/>
        <w:rPr>
          <w:rFonts w:ascii="仿宋" w:hAnsi="仿宋" w:eastAsia="仿宋" w:cs="仿宋"/>
          <w:sz w:val="28"/>
          <w:szCs w:val="28"/>
        </w:rPr>
      </w:pPr>
      <w:r>
        <w:rPr>
          <w:rFonts w:hint="eastAsia" w:ascii="仿宋" w:hAnsi="仿宋" w:eastAsia="仿宋" w:cs="仿宋"/>
          <w:sz w:val="28"/>
          <w:szCs w:val="28"/>
        </w:rPr>
        <w:t>十二、关于国有资产占用情况说明</w:t>
      </w:r>
    </w:p>
    <w:p>
      <w:pPr>
        <w:ind w:firstLine="560" w:firstLineChars="200"/>
        <w:rPr>
          <w:rFonts w:ascii="仿宋" w:hAnsi="仿宋" w:eastAsia="仿宋" w:cs="仿宋"/>
          <w:sz w:val="28"/>
          <w:szCs w:val="28"/>
        </w:rPr>
      </w:pPr>
      <w:r>
        <w:rPr>
          <w:rFonts w:hint="eastAsia" w:ascii="仿宋" w:hAnsi="仿宋" w:eastAsia="仿宋" w:cs="仿宋"/>
          <w:sz w:val="28"/>
          <w:szCs w:val="28"/>
        </w:rPr>
        <w:t>截至2021年12月31日，通城县四庄乡大源小学共有车辆0辆，其中，主要领导干部用车0辆、机要通信用车0辆、应急保障用车0辆、执法执勤用车 0辆、特种专业技术用车0辆、离退休干部用车0辆、其他用车 0辆；单位价值 50万元以上通用设备0台（套）；单位价值 100万元以上专用设备 0台（套）。</w:t>
      </w:r>
    </w:p>
    <w:p>
      <w:pPr>
        <w:ind w:firstLine="560" w:firstLineChars="200"/>
        <w:rPr>
          <w:rFonts w:ascii="仿宋" w:hAnsi="仿宋" w:eastAsia="仿宋" w:cs="仿宋"/>
          <w:sz w:val="28"/>
          <w:szCs w:val="28"/>
        </w:rPr>
      </w:pPr>
      <w:r>
        <w:rPr>
          <w:rFonts w:hint="eastAsia" w:ascii="仿宋" w:hAnsi="仿宋" w:eastAsia="仿宋" w:cs="仿宋"/>
          <w:sz w:val="28"/>
          <w:szCs w:val="28"/>
        </w:rPr>
        <w:t>十三、关于2021年度预算绩效情况的说明</w:t>
      </w:r>
    </w:p>
    <w:p>
      <w:pPr>
        <w:ind w:firstLine="562" w:firstLineChars="200"/>
        <w:rPr>
          <w:rFonts w:ascii="仿宋" w:hAnsi="仿宋" w:eastAsia="仿宋" w:cs="仿宋"/>
          <w:b/>
          <w:bCs/>
          <w:sz w:val="28"/>
          <w:szCs w:val="28"/>
        </w:rPr>
      </w:pPr>
      <w:r>
        <w:rPr>
          <w:rFonts w:hint="eastAsia" w:ascii="仿宋" w:hAnsi="仿宋" w:eastAsia="仿宋" w:cs="仿宋"/>
          <w:b/>
          <w:bCs/>
          <w:sz w:val="28"/>
          <w:szCs w:val="28"/>
        </w:rPr>
        <w:t>（一）预算绩效管理工作开展情况</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根据预算绩效管理要求，通城县四庄乡大源小学组织对2021年度一般公共预算项目支出全面开展绩效自评，共涉及项目0个，资金0万元，占一般公共预算项目支出总额的0％。</w:t>
      </w:r>
      <w:bookmarkStart w:id="0" w:name="_GoBack"/>
      <w:bookmarkEnd w:id="0"/>
    </w:p>
    <w:p>
      <w:pPr>
        <w:keepNext w:val="0"/>
        <w:keepLines w:val="0"/>
        <w:pageBreakBefore w:val="0"/>
        <w:widowControl/>
        <w:numPr>
          <w:ilvl w:val="0"/>
          <w:numId w:val="2"/>
        </w:numPr>
        <w:kinsoku/>
        <w:wordWrap/>
        <w:overflowPunct/>
        <w:topLinePunct w:val="0"/>
        <w:autoSpaceDE/>
        <w:autoSpaceDN/>
        <w:bidi w:val="0"/>
        <w:adjustRightInd w:val="0"/>
        <w:snapToGrid w:val="0"/>
        <w:spacing w:after="200" w:line="240" w:lineRule="auto"/>
        <w:ind w:right="0" w:rightChars="0" w:firstLine="562" w:firstLineChars="200"/>
        <w:textAlignment w:val="auto"/>
        <w:rPr>
          <w:rFonts w:hint="eastAsia"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 xml:space="preserve">部门决算中项目绩效自评结果 </w:t>
      </w:r>
    </w:p>
    <w:p>
      <w:pPr>
        <w:keepNext w:val="0"/>
        <w:keepLines w:val="0"/>
        <w:pageBreakBefore w:val="0"/>
        <w:widowControl/>
        <w:kinsoku/>
        <w:wordWrap/>
        <w:overflowPunct/>
        <w:topLinePunct w:val="0"/>
        <w:autoSpaceDE/>
        <w:autoSpaceDN/>
        <w:bidi w:val="0"/>
        <w:adjustRightInd w:val="0"/>
        <w:snapToGrid w:val="0"/>
        <w:spacing w:after="200" w:line="240" w:lineRule="auto"/>
        <w:ind w:right="0" w:rightChars="0" w:firstLine="560" w:firstLineChars="200"/>
        <w:textAlignment w:val="auto"/>
        <w:rPr>
          <w:rFonts w:hint="eastAsia"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我部门今年在县级部门决算中反映</w:t>
      </w:r>
      <w:r>
        <w:rPr>
          <w:rFonts w:hint="eastAsia" w:ascii="仿宋" w:hAnsi="仿宋" w:eastAsia="仿宋" w:cs="仿宋"/>
          <w:color w:val="000000" w:themeColor="text1"/>
          <w:sz w:val="28"/>
          <w:szCs w:val="28"/>
          <w:highlight w:val="none"/>
          <w:lang w:val="en-US" w:eastAsia="zh-CN"/>
        </w:rPr>
        <w:t>0</w:t>
      </w:r>
      <w:r>
        <w:rPr>
          <w:rFonts w:hint="eastAsia" w:ascii="仿宋" w:hAnsi="仿宋" w:eastAsia="仿宋" w:cs="仿宋"/>
          <w:color w:val="000000" w:themeColor="text1"/>
          <w:sz w:val="28"/>
          <w:szCs w:val="28"/>
          <w:highlight w:val="none"/>
        </w:rPr>
        <w:t>个项目绩效自评结果</w:t>
      </w:r>
      <w:r>
        <w:rPr>
          <w:rFonts w:hint="eastAsia" w:ascii="仿宋" w:hAnsi="仿宋" w:eastAsia="仿宋" w:cs="仿宋"/>
          <w:color w:val="000000" w:themeColor="text1"/>
          <w:sz w:val="28"/>
          <w:szCs w:val="28"/>
          <w:highlight w:val="none"/>
          <w:lang w:eastAsia="zh-CN"/>
        </w:rPr>
        <w:t>。</w:t>
      </w:r>
      <w:r>
        <w:rPr>
          <w:rFonts w:hint="eastAsia" w:ascii="仿宋" w:hAnsi="仿宋" w:eastAsia="仿宋" w:cs="仿宋"/>
          <w:color w:val="000000" w:themeColor="text1"/>
          <w:sz w:val="28"/>
          <w:szCs w:val="28"/>
          <w:highlight w:val="none"/>
        </w:rPr>
        <w:t>（</w:t>
      </w:r>
      <w:r>
        <w:rPr>
          <w:rFonts w:hint="eastAsia" w:ascii="仿宋" w:hAnsi="仿宋" w:eastAsia="仿宋" w:cs="仿宋"/>
          <w:color w:val="000000" w:themeColor="text1"/>
          <w:sz w:val="28"/>
          <w:szCs w:val="28"/>
          <w:highlight w:val="none"/>
          <w:lang w:val="en-US" w:eastAsia="zh-CN"/>
        </w:rPr>
        <w:t>所有项目预算在局机关，由局机关进行项目自评</w:t>
      </w:r>
      <w:r>
        <w:rPr>
          <w:rFonts w:hint="eastAsia" w:ascii="仿宋" w:hAnsi="仿宋" w:eastAsia="仿宋" w:cs="仿宋"/>
          <w:color w:val="000000" w:themeColor="text1"/>
          <w:sz w:val="28"/>
          <w:szCs w:val="28"/>
          <w:highlight w:val="none"/>
        </w:rPr>
        <w:t>）</w:t>
      </w:r>
    </w:p>
    <w:p>
      <w:pPr>
        <w:ind w:firstLine="560" w:firstLineChars="200"/>
        <w:rPr>
          <w:rFonts w:hint="eastAsia" w:ascii="仿宋" w:hAnsi="仿宋" w:eastAsia="仿宋" w:cs="仿宋"/>
          <w:sz w:val="28"/>
          <w:szCs w:val="28"/>
          <w:lang w:eastAsia="zh-CN"/>
        </w:rPr>
      </w:pP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第三部分 名词解释</w:t>
      </w:r>
    </w:p>
    <w:p>
      <w:pPr>
        <w:ind w:firstLine="560" w:firstLineChars="200"/>
        <w:rPr>
          <w:rFonts w:ascii="仿宋" w:hAnsi="仿宋" w:eastAsia="仿宋" w:cs="仿宋"/>
          <w:sz w:val="28"/>
          <w:szCs w:val="28"/>
        </w:rPr>
      </w:pPr>
      <w:r>
        <w:rPr>
          <w:rFonts w:hint="eastAsia" w:ascii="仿宋" w:hAnsi="仿宋" w:eastAsia="仿宋" w:cs="仿宋"/>
          <w:sz w:val="28"/>
          <w:szCs w:val="28"/>
        </w:rPr>
        <w:t>一、财政拨款收入：指县级财政当年拨付的资金。</w:t>
      </w:r>
    </w:p>
    <w:p>
      <w:pPr>
        <w:ind w:firstLine="560" w:firstLineChars="200"/>
        <w:rPr>
          <w:rFonts w:ascii="仿宋" w:hAnsi="仿宋" w:eastAsia="仿宋" w:cs="仿宋"/>
          <w:sz w:val="28"/>
          <w:szCs w:val="28"/>
        </w:rPr>
      </w:pPr>
      <w:r>
        <w:rPr>
          <w:rFonts w:hint="eastAsia" w:ascii="仿宋" w:hAnsi="仿宋" w:eastAsia="仿宋" w:cs="仿宋"/>
          <w:sz w:val="28"/>
          <w:szCs w:val="28"/>
        </w:rPr>
        <w:t>二、其他收入：指除“财政拨款收入”、“上级补助收入”、“事业收入”、“经营收入”等以外的收入。</w:t>
      </w:r>
    </w:p>
    <w:p>
      <w:pPr>
        <w:ind w:firstLine="560" w:firstLineChars="200"/>
        <w:rPr>
          <w:rFonts w:ascii="仿宋" w:hAnsi="仿宋" w:eastAsia="仿宋" w:cs="仿宋"/>
          <w:sz w:val="28"/>
          <w:szCs w:val="28"/>
        </w:rPr>
      </w:pPr>
      <w:r>
        <w:rPr>
          <w:rFonts w:hint="eastAsia" w:ascii="仿宋" w:hAnsi="仿宋" w:eastAsia="仿宋" w:cs="仿宋"/>
          <w:sz w:val="28"/>
          <w:szCs w:val="28"/>
        </w:rPr>
        <w:t>三、年初结转和结余：指以前年度尚未完成、结转到本年按有关规定继续使用的资金。</w:t>
      </w:r>
    </w:p>
    <w:p>
      <w:pPr>
        <w:ind w:firstLine="560" w:firstLineChars="200"/>
        <w:rPr>
          <w:rFonts w:ascii="仿宋" w:hAnsi="仿宋" w:eastAsia="仿宋" w:cs="仿宋"/>
          <w:sz w:val="28"/>
          <w:szCs w:val="28"/>
        </w:rPr>
      </w:pPr>
      <w:r>
        <w:rPr>
          <w:rFonts w:hint="eastAsia" w:ascii="仿宋" w:hAnsi="仿宋" w:eastAsia="仿宋" w:cs="仿宋"/>
          <w:sz w:val="28"/>
          <w:szCs w:val="28"/>
        </w:rPr>
        <w:t>四、基本支出：指为保障机构正常运转、完成日常工作任务而发生的人员支出（包括基本工资、津贴补贴等）和公用支出（包括办公费、水电费、邮电费、交通费、差旅费等）。</w:t>
      </w:r>
    </w:p>
    <w:p>
      <w:pPr>
        <w:ind w:firstLine="560" w:firstLineChars="200"/>
        <w:rPr>
          <w:rFonts w:ascii="仿宋" w:hAnsi="仿宋" w:eastAsia="仿宋" w:cs="仿宋"/>
          <w:sz w:val="28"/>
          <w:szCs w:val="28"/>
        </w:rPr>
      </w:pPr>
      <w:r>
        <w:rPr>
          <w:rFonts w:hint="eastAsia" w:ascii="仿宋" w:hAnsi="仿宋" w:eastAsia="仿宋" w:cs="仿宋"/>
          <w:sz w:val="28"/>
          <w:szCs w:val="28"/>
        </w:rPr>
        <w:t>五、项目支出：指在基本支出之外为完成特定行政任务和事业发展目标所发生的支出。</w:t>
      </w:r>
    </w:p>
    <w:p>
      <w:pPr>
        <w:ind w:firstLine="560" w:firstLineChars="200"/>
        <w:rPr>
          <w:rFonts w:ascii="仿宋" w:hAnsi="仿宋" w:eastAsia="仿宋" w:cs="仿宋"/>
          <w:sz w:val="28"/>
          <w:szCs w:val="28"/>
        </w:rPr>
      </w:pPr>
      <w:r>
        <w:rPr>
          <w:rFonts w:hint="eastAsia" w:ascii="仿宋" w:hAnsi="仿宋" w:eastAsia="仿宋" w:cs="仿宋"/>
          <w:sz w:val="28"/>
          <w:szCs w:val="28"/>
        </w:rPr>
        <w:t>六、三公”经费：是指用财政拨款安排的因公出国（境）费、公务用车购置及运行维护费、公务接待费。</w:t>
      </w:r>
    </w:p>
    <w:p>
      <w:pPr>
        <w:ind w:firstLine="560" w:firstLineChars="200"/>
        <w:rPr>
          <w:rFonts w:ascii="仿宋" w:hAnsi="仿宋" w:eastAsia="仿宋" w:cs="仿宋"/>
          <w:sz w:val="28"/>
          <w:szCs w:val="28"/>
        </w:rPr>
      </w:pPr>
      <w:r>
        <w:rPr>
          <w:rFonts w:hint="eastAsia" w:ascii="仿宋" w:hAnsi="仿宋" w:eastAsia="仿宋" w:cs="仿宋"/>
          <w:sz w:val="28"/>
          <w:szCs w:val="28"/>
        </w:rPr>
        <w:t>七、机关运行经费：是指行政单位和参照公务员法管理事业单位使用的一般公共预算财政拨款安排的基本支出中的公用经费。</w:t>
      </w:r>
    </w:p>
    <w:p>
      <w:pPr>
        <w:ind w:firstLine="562" w:firstLineChars="200"/>
        <w:jc w:val="center"/>
        <w:rPr>
          <w:rFonts w:ascii="仿宋" w:hAnsi="仿宋" w:eastAsia="仿宋" w:cs="仿宋"/>
          <w:b/>
          <w:bCs/>
          <w:sz w:val="28"/>
          <w:szCs w:val="28"/>
        </w:rPr>
      </w:pPr>
      <w:r>
        <w:rPr>
          <w:rFonts w:hint="eastAsia" w:ascii="仿宋" w:hAnsi="仿宋" w:eastAsia="仿宋" w:cs="仿宋"/>
          <w:b/>
          <w:bCs/>
          <w:sz w:val="28"/>
          <w:szCs w:val="28"/>
        </w:rPr>
        <w:t>第四部分  通城县四庄乡大源小学2021年部门决算公开表</w:t>
      </w:r>
    </w:p>
    <w:p>
      <w:pPr>
        <w:ind w:firstLine="560" w:firstLineChars="200"/>
        <w:jc w:val="both"/>
        <w:rPr>
          <w:rFonts w:ascii="仿宋" w:hAnsi="仿宋" w:eastAsia="仿宋" w:cs="仿宋"/>
          <w:sz w:val="28"/>
          <w:szCs w:val="28"/>
        </w:rPr>
      </w:pPr>
      <w:r>
        <w:rPr>
          <w:rFonts w:hint="eastAsia" w:ascii="仿宋" w:hAnsi="仿宋" w:eastAsia="仿宋" w:cs="仿宋"/>
          <w:sz w:val="28"/>
          <w:szCs w:val="28"/>
        </w:rPr>
        <w:t>附表：</w:t>
      </w:r>
      <w:r>
        <w:rPr>
          <w:rFonts w:hint="eastAsia" w:ascii="仿宋" w:hAnsi="仿宋" w:eastAsia="仿宋" w:cs="仿宋"/>
          <w:b/>
          <w:bCs/>
          <w:sz w:val="28"/>
          <w:szCs w:val="28"/>
        </w:rPr>
        <w:t>2021年部门决算公开表</w:t>
      </w:r>
    </w:p>
    <w:p>
      <w:pPr>
        <w:ind w:firstLine="440" w:firstLineChars="200"/>
        <w:rPr>
          <w:rFonts w:ascii="新宋体" w:hAnsi="新宋体" w:eastAsia="新宋体" w:cs="新宋体"/>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F2F89"/>
    <w:multiLevelType w:val="singleLevel"/>
    <w:tmpl w:val="9BFF2F89"/>
    <w:lvl w:ilvl="0" w:tentative="0">
      <w:start w:val="2"/>
      <w:numFmt w:val="chineseCounting"/>
      <w:suff w:val="nothing"/>
      <w:lvlText w:val="（%1）"/>
      <w:lvlJc w:val="left"/>
      <w:rPr>
        <w:rFonts w:hint="eastAsia" w:cs="Times New Roman"/>
      </w:rPr>
    </w:lvl>
  </w:abstractNum>
  <w:abstractNum w:abstractNumId="1">
    <w:nsid w:val="3B79835B"/>
    <w:multiLevelType w:val="singleLevel"/>
    <w:tmpl w:val="3B79835B"/>
    <w:lvl w:ilvl="0" w:tentative="0">
      <w:start w:val="9"/>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isplayHorizontalDrawingGridEvery w:val="0"/>
  <w:displayVerticalDrawingGridEvery w:val="2"/>
  <w:characterSpacingControl w:val="doNotCompress"/>
  <w:noLineBreaksAfter w:lang="zh-CN" w:val="$([{£¥·‘“〈《「『【〔〖〝﹙﹛﹝＄（．［｛￡￥"/>
  <w:noLineBreaksBefore w:lang="zh-CN" w:val="!%),.:;&gt;?]}¢¨°·ˇˉ―‖’”…‰′″›℃∶、。〃〉》」』】〕〗〞︶︺︾﹀﹄﹚﹜﹞！＂％＇），．：；？］｀｜｝～￠"/>
  <w:compat>
    <w:balanceSingleByteDoubleByteWidth/>
    <w:doNotExpandShiftReturn/>
    <w:adjustLineHeightInTable/>
    <w:useFELayout/>
    <w:doNotUseIndentAsNumberingTabStop/>
    <w:useAltKinsokuLineBreakRules/>
    <w:underlineTabInNumList/>
    <w:compatSetting w:name="compatibilityMode" w:uri="http://schemas.microsoft.com/office/word" w:val="12"/>
  </w:compat>
  <w:docVars>
    <w:docVar w:name="commondata" w:val="eyJoZGlkIjoiYjRiZmI4OWE0YWUzYmNkMmNmMWYxMmY1YTI2NTliZDIifQ=="/>
  </w:docVars>
  <w:rsids>
    <w:rsidRoot w:val="00D31D50"/>
    <w:rsid w:val="00055702"/>
    <w:rsid w:val="000752B6"/>
    <w:rsid w:val="000776C8"/>
    <w:rsid w:val="000B0D9F"/>
    <w:rsid w:val="00142500"/>
    <w:rsid w:val="00163F86"/>
    <w:rsid w:val="00190BB0"/>
    <w:rsid w:val="001D579A"/>
    <w:rsid w:val="002158F2"/>
    <w:rsid w:val="00271867"/>
    <w:rsid w:val="00271DB3"/>
    <w:rsid w:val="002F60D1"/>
    <w:rsid w:val="00323B43"/>
    <w:rsid w:val="003268D2"/>
    <w:rsid w:val="00363F3C"/>
    <w:rsid w:val="00387A05"/>
    <w:rsid w:val="003B1A1F"/>
    <w:rsid w:val="003B3511"/>
    <w:rsid w:val="003D37D8"/>
    <w:rsid w:val="003D4761"/>
    <w:rsid w:val="00425221"/>
    <w:rsid w:val="00426133"/>
    <w:rsid w:val="004358AB"/>
    <w:rsid w:val="0045530F"/>
    <w:rsid w:val="00472CE1"/>
    <w:rsid w:val="004952F4"/>
    <w:rsid w:val="00546574"/>
    <w:rsid w:val="00582DEF"/>
    <w:rsid w:val="00595177"/>
    <w:rsid w:val="005D7E98"/>
    <w:rsid w:val="006012FC"/>
    <w:rsid w:val="00621FFD"/>
    <w:rsid w:val="00695A73"/>
    <w:rsid w:val="006B0F8C"/>
    <w:rsid w:val="006C2FAF"/>
    <w:rsid w:val="007603CD"/>
    <w:rsid w:val="0081370C"/>
    <w:rsid w:val="0084774B"/>
    <w:rsid w:val="00884912"/>
    <w:rsid w:val="008B7726"/>
    <w:rsid w:val="008C7615"/>
    <w:rsid w:val="00911742"/>
    <w:rsid w:val="00980BA8"/>
    <w:rsid w:val="009B18E6"/>
    <w:rsid w:val="009E060F"/>
    <w:rsid w:val="009F1F00"/>
    <w:rsid w:val="009F445D"/>
    <w:rsid w:val="009F6362"/>
    <w:rsid w:val="00A01854"/>
    <w:rsid w:val="00A27E47"/>
    <w:rsid w:val="00A47EE4"/>
    <w:rsid w:val="00A53175"/>
    <w:rsid w:val="00A96577"/>
    <w:rsid w:val="00B22882"/>
    <w:rsid w:val="00B402FC"/>
    <w:rsid w:val="00BA17DC"/>
    <w:rsid w:val="00BE0D05"/>
    <w:rsid w:val="00C4065C"/>
    <w:rsid w:val="00CB0807"/>
    <w:rsid w:val="00CC7743"/>
    <w:rsid w:val="00D31D50"/>
    <w:rsid w:val="00D4554F"/>
    <w:rsid w:val="00D869CC"/>
    <w:rsid w:val="00D91496"/>
    <w:rsid w:val="00DA6E00"/>
    <w:rsid w:val="00DE7932"/>
    <w:rsid w:val="00E16481"/>
    <w:rsid w:val="00EC06D1"/>
    <w:rsid w:val="00ED3591"/>
    <w:rsid w:val="00EE5E82"/>
    <w:rsid w:val="00EE7635"/>
    <w:rsid w:val="00F2079C"/>
    <w:rsid w:val="00F468D4"/>
    <w:rsid w:val="00FA50EE"/>
    <w:rsid w:val="00FB24DA"/>
    <w:rsid w:val="00FF6B26"/>
    <w:rsid w:val="0143156F"/>
    <w:rsid w:val="02266563"/>
    <w:rsid w:val="02760C61"/>
    <w:rsid w:val="03605505"/>
    <w:rsid w:val="06625936"/>
    <w:rsid w:val="07A34388"/>
    <w:rsid w:val="09D97491"/>
    <w:rsid w:val="0AC15253"/>
    <w:rsid w:val="0CAD39DF"/>
    <w:rsid w:val="0DDC7243"/>
    <w:rsid w:val="12722411"/>
    <w:rsid w:val="15AB6832"/>
    <w:rsid w:val="1BDB3886"/>
    <w:rsid w:val="1DF83229"/>
    <w:rsid w:val="221D4684"/>
    <w:rsid w:val="240C4C9B"/>
    <w:rsid w:val="245B6282"/>
    <w:rsid w:val="252533C6"/>
    <w:rsid w:val="26A675BC"/>
    <w:rsid w:val="27083457"/>
    <w:rsid w:val="2E08741A"/>
    <w:rsid w:val="2F9C405F"/>
    <w:rsid w:val="32566893"/>
    <w:rsid w:val="393323A7"/>
    <w:rsid w:val="3CE4661E"/>
    <w:rsid w:val="3D45700B"/>
    <w:rsid w:val="3E835C10"/>
    <w:rsid w:val="3E94641E"/>
    <w:rsid w:val="450D5E90"/>
    <w:rsid w:val="46930B4F"/>
    <w:rsid w:val="4795374B"/>
    <w:rsid w:val="493D7C60"/>
    <w:rsid w:val="498D4584"/>
    <w:rsid w:val="4C9B2F61"/>
    <w:rsid w:val="4D1465D5"/>
    <w:rsid w:val="543A313C"/>
    <w:rsid w:val="56E74241"/>
    <w:rsid w:val="59B93C0A"/>
    <w:rsid w:val="5A5A1F55"/>
    <w:rsid w:val="5D34570A"/>
    <w:rsid w:val="609D230B"/>
    <w:rsid w:val="63C34202"/>
    <w:rsid w:val="63DE052E"/>
    <w:rsid w:val="644B3A0A"/>
    <w:rsid w:val="65030D78"/>
    <w:rsid w:val="65190674"/>
    <w:rsid w:val="67894922"/>
    <w:rsid w:val="67B7762A"/>
    <w:rsid w:val="67D610E5"/>
    <w:rsid w:val="681F1ADC"/>
    <w:rsid w:val="682D17E6"/>
    <w:rsid w:val="6CEA3D08"/>
    <w:rsid w:val="71F2684D"/>
    <w:rsid w:val="739C5638"/>
    <w:rsid w:val="73E966D5"/>
    <w:rsid w:val="7499132C"/>
    <w:rsid w:val="74E46A4D"/>
    <w:rsid w:val="754C1978"/>
    <w:rsid w:val="75F1511D"/>
    <w:rsid w:val="768F319E"/>
    <w:rsid w:val="76D62E47"/>
    <w:rsid w:val="77AA2CD6"/>
    <w:rsid w:val="78762B0B"/>
    <w:rsid w:val="7BE87C8D"/>
    <w:rsid w:val="7C8D540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pPr>
      <w:spacing w:after="0"/>
    </w:pPr>
    <w:rPr>
      <w:sz w:val="18"/>
      <w:szCs w:val="18"/>
    </w:rPr>
  </w:style>
  <w:style w:type="paragraph" w:styleId="3">
    <w:name w:val="footer"/>
    <w:basedOn w:val="1"/>
    <w:link w:val="11"/>
    <w:semiHidden/>
    <w:qFormat/>
    <w:uiPriority w:val="99"/>
    <w:pPr>
      <w:tabs>
        <w:tab w:val="center" w:pos="4153"/>
        <w:tab w:val="right" w:pos="8306"/>
      </w:tabs>
    </w:pPr>
    <w:rPr>
      <w:sz w:val="18"/>
      <w:szCs w:val="18"/>
    </w:rPr>
  </w:style>
  <w:style w:type="paragraph" w:styleId="4">
    <w:name w:val="header"/>
    <w:basedOn w:val="1"/>
    <w:link w:val="10"/>
    <w:semiHidden/>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spacing w:beforeAutospacing="1" w:after="0" w:afterAutospacing="1"/>
    </w:pPr>
    <w:rPr>
      <w:sz w:val="24"/>
    </w:rPr>
  </w:style>
  <w:style w:type="character" w:styleId="8">
    <w:name w:val="Strong"/>
    <w:basedOn w:val="7"/>
    <w:qFormat/>
    <w:locked/>
    <w:uiPriority w:val="0"/>
    <w:rPr>
      <w:b/>
    </w:rPr>
  </w:style>
  <w:style w:type="character" w:customStyle="1" w:styleId="9">
    <w:name w:val="批注框文本 Char"/>
    <w:basedOn w:val="7"/>
    <w:link w:val="2"/>
    <w:semiHidden/>
    <w:qFormat/>
    <w:locked/>
    <w:uiPriority w:val="99"/>
    <w:rPr>
      <w:rFonts w:ascii="Tahoma" w:hAnsi="Tahoma" w:cs="Times New Roman"/>
      <w:sz w:val="18"/>
      <w:szCs w:val="18"/>
    </w:rPr>
  </w:style>
  <w:style w:type="character" w:customStyle="1" w:styleId="10">
    <w:name w:val="页眉 Char"/>
    <w:basedOn w:val="7"/>
    <w:link w:val="4"/>
    <w:semiHidden/>
    <w:qFormat/>
    <w:locked/>
    <w:uiPriority w:val="99"/>
    <w:rPr>
      <w:rFonts w:ascii="Tahoma" w:hAnsi="Tahoma" w:cs="Times New Roman"/>
      <w:sz w:val="18"/>
      <w:szCs w:val="18"/>
    </w:rPr>
  </w:style>
  <w:style w:type="character" w:customStyle="1" w:styleId="11">
    <w:name w:val="页脚 Char"/>
    <w:basedOn w:val="7"/>
    <w:link w:val="3"/>
    <w:semiHidden/>
    <w:qFormat/>
    <w:locked/>
    <w:uiPriority w:val="99"/>
    <w:rPr>
      <w:rFonts w:ascii="Tahoma" w:hAnsi="Tahoma"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3532</Words>
  <Characters>3802</Characters>
  <Lines>3</Lines>
  <Paragraphs>7</Paragraphs>
  <TotalTime>0</TotalTime>
  <ScaleCrop>false</ScaleCrop>
  <LinksUpToDate>false</LinksUpToDate>
  <CharactersWithSpaces>3834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那就再来一次丶</cp:lastModifiedBy>
  <cp:lastPrinted>2021-09-02T06:08:00Z</cp:lastPrinted>
  <dcterms:modified xsi:type="dcterms:W3CDTF">2022-09-15T07:32:00Z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7A5D169CE5ED4538A79CF5CBD549DD9F</vt:lpwstr>
  </property>
</Properties>
</file>