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default"/>
          <w:color w:val="auto"/>
          <w:lang w:val="en-US" w:eastAsia="zh-CN"/>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关刀中心完小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2021年</w:t>
      </w:r>
      <w:r>
        <w:rPr>
          <w:rFonts w:hint="eastAsia" w:ascii="新宋体" w:hAnsi="新宋体" w:eastAsia="新宋体" w:cs="新宋体"/>
          <w:color w:val="auto"/>
          <w:sz w:val="32"/>
          <w:szCs w:val="32"/>
        </w:rPr>
        <w:t>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通城县关刀中心完小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通城县关刀中心完小2021年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通城县关刀中心完小2021年</w:t>
      </w:r>
      <w:r>
        <w:rPr>
          <w:rFonts w:hint="eastAsia" w:ascii="仿宋" w:hAnsi="仿宋" w:eastAsia="仿宋" w:cs="仿宋"/>
          <w:b/>
          <w:bCs/>
          <w:color w:val="auto"/>
          <w:sz w:val="28"/>
          <w:szCs w:val="28"/>
        </w:rPr>
        <w:t>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通城县关刀中心完小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关刀中心完小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关刀中心完小</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52</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52</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42</w:t>
      </w:r>
      <w:r>
        <w:rPr>
          <w:rFonts w:hint="eastAsia" w:ascii="仿宋" w:hAnsi="仿宋" w:eastAsia="仿宋" w:cs="仿宋"/>
          <w:color w:val="000000" w:themeColor="text1"/>
          <w:sz w:val="28"/>
          <w:szCs w:val="28"/>
          <w14:textFill>
            <w14:solidFill>
              <w14:schemeClr w14:val="tx1"/>
            </w14:solidFill>
          </w14:textFill>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通城县关刀中心完小2021年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通城县关刀中心完小2021年</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入决算数1087.09</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1087.09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196.35万元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22.04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196.35万元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22.04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通城县关刀中心完小2021年</w:t>
      </w:r>
      <w:r>
        <w:rPr>
          <w:rFonts w:hint="eastAsia" w:ascii="仿宋" w:hAnsi="仿宋" w:eastAsia="仿宋" w:cs="仿宋"/>
          <w:color w:val="auto"/>
          <w:sz w:val="28"/>
          <w:szCs w:val="28"/>
        </w:rPr>
        <w:t>收入决算</w:t>
      </w:r>
      <w:r>
        <w:rPr>
          <w:rFonts w:hint="eastAsia" w:ascii="仿宋" w:hAnsi="仿宋" w:eastAsia="仿宋" w:cs="仿宋"/>
          <w:color w:val="auto"/>
          <w:sz w:val="28"/>
          <w:szCs w:val="28"/>
          <w:lang w:eastAsia="zh-CN"/>
        </w:rPr>
        <w:t>1087.09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eastAsia="zh-CN"/>
        </w:rPr>
        <w:t>777.39</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71.51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通城县关刀中心完小2021年</w:t>
      </w:r>
      <w:r>
        <w:rPr>
          <w:rFonts w:hint="eastAsia" w:ascii="仿宋" w:hAnsi="仿宋" w:eastAsia="仿宋" w:cs="仿宋"/>
          <w:color w:val="auto"/>
          <w:sz w:val="28"/>
          <w:szCs w:val="28"/>
        </w:rPr>
        <w:t>支出决算</w:t>
      </w:r>
      <w:r>
        <w:rPr>
          <w:rFonts w:hint="eastAsia" w:ascii="仿宋" w:hAnsi="仿宋" w:eastAsia="仿宋" w:cs="仿宋"/>
          <w:color w:val="auto"/>
          <w:sz w:val="28"/>
          <w:szCs w:val="28"/>
          <w:lang w:eastAsia="zh-CN"/>
        </w:rPr>
        <w:t>1087.09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eastAsia="zh-CN"/>
        </w:rPr>
        <w:t>1087.09</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通城县关刀中心完小2021年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777.39</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777.39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减少113.35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下降12.72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减少113.35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下降12.72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通城县关刀中心完小2021年</w:t>
      </w:r>
      <w:r>
        <w:rPr>
          <w:rFonts w:hint="eastAsia" w:ascii="仿宋" w:hAnsi="仿宋" w:eastAsia="仿宋" w:cs="仿宋"/>
          <w:color w:val="auto"/>
          <w:sz w:val="28"/>
          <w:szCs w:val="28"/>
        </w:rPr>
        <w:t>财政拨款支出</w:t>
      </w:r>
      <w:r>
        <w:rPr>
          <w:rFonts w:hint="eastAsia" w:ascii="仿宋" w:hAnsi="仿宋" w:eastAsia="仿宋" w:cs="仿宋"/>
          <w:color w:val="auto"/>
          <w:sz w:val="28"/>
          <w:szCs w:val="28"/>
          <w:lang w:eastAsia="zh-CN"/>
        </w:rPr>
        <w:t>777.39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140.5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22.06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698.99</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78.4</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519.01万元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74.25</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107.14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15.32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72.84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10.43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698.99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62.1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584.49</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83.62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9.25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101.75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14.56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3.5万元，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关刀中心完小2021年</w:t>
      </w:r>
      <w:r>
        <w:rPr>
          <w:rFonts w:hint="eastAsia" w:ascii="仿宋" w:hAnsi="仿宋" w:eastAsia="仿宋" w:cs="仿宋"/>
          <w:color w:val="auto"/>
          <w:sz w:val="28"/>
          <w:szCs w:val="28"/>
        </w:rPr>
        <w:t>“三公”经费财政拨款支出为</w:t>
      </w:r>
      <w:r>
        <w:rPr>
          <w:rFonts w:hint="eastAsia" w:ascii="仿宋" w:hAnsi="仿宋" w:eastAsia="仿宋" w:cs="仿宋"/>
          <w:color w:val="auto"/>
          <w:sz w:val="28"/>
          <w:szCs w:val="28"/>
          <w:lang w:eastAsia="zh-CN"/>
        </w:rPr>
        <w:t>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47.37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eastAsia="zh-CN"/>
        </w:rPr>
        <w:t>0.9</w:t>
      </w:r>
      <w:r>
        <w:rPr>
          <w:rFonts w:hint="eastAsia" w:ascii="仿宋" w:hAnsi="仿宋" w:eastAsia="仿宋" w:cs="仿宋"/>
          <w:color w:val="auto"/>
          <w:sz w:val="28"/>
          <w:szCs w:val="28"/>
        </w:rPr>
        <w:t>万元，包括单位按规定开支的各类公务接待（含外宾接待）支出。</w:t>
      </w:r>
      <w:bookmarkStart w:id="0" w:name="_GoBack"/>
      <w:bookmarkEnd w:id="0"/>
      <w:r>
        <w:rPr>
          <w:rFonts w:hint="eastAsia" w:ascii="仿宋" w:hAnsi="仿宋" w:eastAsia="仿宋" w:cs="仿宋"/>
          <w:color w:val="auto"/>
          <w:sz w:val="28"/>
          <w:szCs w:val="28"/>
          <w:lang w:val="en-US" w:eastAsia="zh-CN"/>
        </w:rPr>
        <w:t>比年初预算数减少1万元，降低52.63%，减少主要原因：公务用车改革和认真贯彻落实中央、省、市、县关于厉行节约的各项要求，进一步从严控制“三公经费”开支。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eastAsia="zh-CN"/>
        </w:rPr>
        <w:t>101.75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43.28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28.22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eastAsia="zh-CN"/>
        </w:rPr>
        <w:t>6.77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eastAsia="zh-CN"/>
        </w:rPr>
        <w:t>4.89</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eastAsia="zh-CN"/>
        </w:rPr>
        <w:t>0.6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eastAsia="zh-CN"/>
        </w:rPr>
        <w:t>12.35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0.55</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eastAsia="zh-CN"/>
        </w:rPr>
        <w:t>14.93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0.48万元，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0.17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eastAsia="zh-CN"/>
        </w:rPr>
        <w:t>0.9</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1.07万元，劳务费8.89万元， 委托业务费0万元，</w:t>
      </w:r>
      <w:r>
        <w:rPr>
          <w:rFonts w:hint="eastAsia" w:ascii="仿宋" w:hAnsi="仿宋" w:eastAsia="仿宋" w:cs="仿宋"/>
          <w:color w:val="auto"/>
          <w:sz w:val="28"/>
          <w:szCs w:val="28"/>
          <w:lang w:val="en-US" w:eastAsia="zh-CN"/>
        </w:rPr>
        <w:t>工会经费16.5</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eastAsia="zh-CN"/>
        </w:rPr>
        <w:t>2.34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2021年通城县关刀中心完小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12月31日，</w:t>
      </w:r>
      <w:r>
        <w:rPr>
          <w:rFonts w:hint="eastAsia" w:ascii="仿宋" w:hAnsi="仿宋" w:eastAsia="仿宋" w:cs="仿宋"/>
          <w:color w:val="auto"/>
          <w:sz w:val="28"/>
          <w:szCs w:val="28"/>
          <w:lang w:eastAsia="zh-CN"/>
        </w:rPr>
        <w:t>通城县关刀中心完小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通城县关刀中心完小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通城县关刀中心完小2021年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6F32832"/>
    <w:rsid w:val="07A34388"/>
    <w:rsid w:val="09D97491"/>
    <w:rsid w:val="0AC15253"/>
    <w:rsid w:val="0CAD39DF"/>
    <w:rsid w:val="0F057E88"/>
    <w:rsid w:val="0FCF30C5"/>
    <w:rsid w:val="12722411"/>
    <w:rsid w:val="15AB6832"/>
    <w:rsid w:val="1BDB3886"/>
    <w:rsid w:val="1DF83229"/>
    <w:rsid w:val="221D4684"/>
    <w:rsid w:val="240C4C9B"/>
    <w:rsid w:val="245B6282"/>
    <w:rsid w:val="252533C6"/>
    <w:rsid w:val="27083457"/>
    <w:rsid w:val="2D7F67F9"/>
    <w:rsid w:val="2E08741A"/>
    <w:rsid w:val="393323A7"/>
    <w:rsid w:val="3CE4661E"/>
    <w:rsid w:val="3E94641E"/>
    <w:rsid w:val="43007228"/>
    <w:rsid w:val="450D5E90"/>
    <w:rsid w:val="46930B4F"/>
    <w:rsid w:val="4795374B"/>
    <w:rsid w:val="493D7C60"/>
    <w:rsid w:val="498D4584"/>
    <w:rsid w:val="4C9B2F61"/>
    <w:rsid w:val="4CC05F61"/>
    <w:rsid w:val="4D1465D5"/>
    <w:rsid w:val="543A313C"/>
    <w:rsid w:val="547E1FAC"/>
    <w:rsid w:val="56E74241"/>
    <w:rsid w:val="59B93C0A"/>
    <w:rsid w:val="5A5A1F55"/>
    <w:rsid w:val="5D05032A"/>
    <w:rsid w:val="5D34570A"/>
    <w:rsid w:val="63C34202"/>
    <w:rsid w:val="63DE052E"/>
    <w:rsid w:val="63EA4897"/>
    <w:rsid w:val="644B3A0A"/>
    <w:rsid w:val="65030D78"/>
    <w:rsid w:val="65190674"/>
    <w:rsid w:val="67894922"/>
    <w:rsid w:val="67B7762A"/>
    <w:rsid w:val="67D610E5"/>
    <w:rsid w:val="681F1ADC"/>
    <w:rsid w:val="682D17E6"/>
    <w:rsid w:val="6A6E680F"/>
    <w:rsid w:val="6CEA3D08"/>
    <w:rsid w:val="70C7173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0</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2022-09-23T01:30:53Z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