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/>
        </w:rPr>
        <w:t>2023年度双随机抽查工作计划表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auto"/>
          <w:lang w:val="en-US"/>
        </w:rPr>
      </w:pPr>
    </w:p>
    <w:tbl>
      <w:tblPr>
        <w:tblStyle w:val="5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15"/>
        <w:gridCol w:w="2472"/>
        <w:gridCol w:w="2625"/>
        <w:gridCol w:w="975"/>
        <w:gridCol w:w="930"/>
        <w:gridCol w:w="993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比例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农药监督检查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农药生产者、经营者、农药登记试验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10%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肥料监督检查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肥料生产、经营者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12%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通过农业机械推广鉴定的产品及证书监督检查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农业机械生产经营企业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种子监督检查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种子生产经营者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12%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兽药监督检查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兽药生产经营企业、兽药使用单位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饲料和饲料添加剂监督检查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饲料和饲料添加剂生产企业和经营企业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50%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种畜禽质量、水生野生动物及其制品利用活动的检查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种畜禽质量监督检查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从事种畜禽生产经营的单位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水生野生动物及其制品利用活动的监督检查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利用水生野生动物及其制品的事业单位、企业、社会组织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NTgyNGZhMmZiNDYyYzkyNjQ4Y2I3ZGU4NTFjMTcifQ=="/>
  </w:docVars>
  <w:rsids>
    <w:rsidRoot w:val="1B9338D5"/>
    <w:rsid w:val="1B9338D5"/>
    <w:rsid w:val="41AB4DE1"/>
    <w:rsid w:val="56B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宋体" w:hAnsi="宋体"/>
      <w:szCs w:val="24"/>
    </w:rPr>
  </w:style>
  <w:style w:type="paragraph" w:styleId="3">
    <w:name w:val="Plain Text"/>
    <w:basedOn w:val="1"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2023-03-03T07:52:00Z</dcterms:created>
  <dc:creator>通城县农业农村局</dc:creator>
  <cp:lastModifiedBy>通城县农业农村局</cp:lastModifiedBy>
  <dcterms:modified xsi:type="dcterms:W3CDTF">2023-03-03T07:52:40Z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43EBEC784A774F9099862CB055E633ED</vt:lpwstr>
  </property>
</Properties>
</file>